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4E430" w14:textId="2EFC5CDE" w:rsidR="00044118" w:rsidRDefault="00702559">
      <w:pPr>
        <w:pStyle w:val="Title"/>
        <w:jc w:val="center"/>
      </w:pPr>
      <w:r>
        <w:t>TRANTIATE</w:t>
      </w:r>
      <w:r>
        <w:t xml:space="preserve"> V2.0 30/60/90-Day Adoption Plan</w:t>
      </w:r>
    </w:p>
    <w:p w14:paraId="64B2E2CC" w14:textId="77777777" w:rsidR="00044118" w:rsidRDefault="00702559">
      <w:pPr>
        <w:jc w:val="center"/>
      </w:pPr>
      <w:r>
        <w:rPr>
          <w:rFonts w:ascii="Aptos Display" w:hAnsi="Aptos Display"/>
          <w:color w:val="4E79A7"/>
          <w:sz w:val="26"/>
        </w:rPr>
        <w:t>A practical first-90-days path from methodology orientation to governed execution</w:t>
      </w:r>
    </w:p>
    <w:p w14:paraId="3DB39263" w14:textId="77777777" w:rsidR="00044118" w:rsidRDefault="00044118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044118" w14:paraId="3A19B302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D03B77C" w14:textId="77777777" w:rsidR="00044118" w:rsidRDefault="00702559">
            <w:r>
              <w:rPr>
                <w:b/>
                <w:color w:val="FFFFFF"/>
                <w:sz w:val="17"/>
              </w:rPr>
              <w:t>Primary Audience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2A2C985" w14:textId="77777777" w:rsidR="00044118" w:rsidRDefault="00702559">
            <w:r>
              <w:rPr>
                <w:sz w:val="17"/>
              </w:rPr>
              <w:t>Executive sponsors, Seers, transformation offices, program leaders, architects, governance teams</w:t>
            </w:r>
          </w:p>
        </w:tc>
      </w:tr>
      <w:tr w:rsidR="00044118" w14:paraId="1D569EEA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6F51658" w14:textId="77777777" w:rsidR="00044118" w:rsidRDefault="00702559">
            <w:r>
              <w:rPr>
                <w:b/>
                <w:color w:val="FFFFFF"/>
                <w:sz w:val="17"/>
              </w:rPr>
              <w:t>Purpose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366E472" w14:textId="77777777" w:rsidR="00044118" w:rsidRDefault="00702559">
            <w:r>
              <w:rPr>
                <w:sz w:val="17"/>
              </w:rPr>
              <w:t>Give organizations a time-boxed adoption path while preserving the methodology's bounded, risk-proportionate character.</w:t>
            </w:r>
          </w:p>
        </w:tc>
      </w:tr>
      <w:tr w:rsidR="00044118" w14:paraId="6C68E187" w14:textId="77777777">
        <w:trPr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F1B4503" w14:textId="77777777" w:rsidR="00044118" w:rsidRDefault="00702559">
            <w:r>
              <w:rPr>
                <w:b/>
                <w:color w:val="FFFFFF"/>
                <w:sz w:val="17"/>
              </w:rPr>
              <w:t>Authority</w:t>
            </w:r>
          </w:p>
        </w:tc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4333AEF" w14:textId="228387F1" w:rsidR="00044118" w:rsidRDefault="00702559">
            <w:r>
              <w:rPr>
                <w:sz w:val="17"/>
              </w:rPr>
              <w:t>Companion to the published TRANTIATE</w:t>
            </w:r>
            <w:r>
              <w:rPr>
                <w:sz w:val="17"/>
              </w:rPr>
              <w:t xml:space="preserve"> White Paper Version 2.0</w:t>
            </w:r>
          </w:p>
        </w:tc>
      </w:tr>
    </w:tbl>
    <w:p w14:paraId="0EA0D7E1" w14:textId="77777777" w:rsidR="00044118" w:rsidRDefault="00044118"/>
    <w:p w14:paraId="4B869280" w14:textId="77777777" w:rsidR="00044118" w:rsidRDefault="00702559">
      <w:pPr>
        <w:pStyle w:val="QuoteBlock"/>
        <w:jc w:val="center"/>
      </w:pPr>
      <w:r>
        <w:t>White Paper = methodology authority. Supplementary documents = interpretation and application.</w:t>
      </w:r>
    </w:p>
    <w:p w14:paraId="04AF2872" w14:textId="77777777" w:rsidR="00044118" w:rsidRDefault="00702559">
      <w:r>
        <w:br w:type="page"/>
      </w:r>
    </w:p>
    <w:p w14:paraId="4EAF5F20" w14:textId="77777777" w:rsidR="00044118" w:rsidRDefault="00702559">
      <w:pPr>
        <w:pStyle w:val="Heading1"/>
      </w:pPr>
      <w:r>
        <w:lastRenderedPageBreak/>
        <w:t>1. Adoption Objective</w:t>
      </w:r>
    </w:p>
    <w:p w14:paraId="38E133EE" w14:textId="77777777" w:rsidR="00044118" w:rsidRDefault="00702559">
      <w:r>
        <w:t>The first 90 days should not attempt enterprise-wide rollout. The purpose is to establish shared language, select a meaningful pilot, run Trant 0, execute at least one bounded Trant, close it through evidence, and create enough reusable operating discipline to decide how to scale.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166"/>
      </w:tblGrid>
      <w:tr w:rsidR="00044118" w14:paraId="255B7695" w14:textId="77777777">
        <w:trPr>
          <w:tblHeader/>
          <w:jc w:val="center"/>
        </w:trPr>
        <w:tc>
          <w:tcPr>
            <w:tcW w:w="10166" w:type="dxa"/>
            <w:shd w:val="clear" w:color="auto" w:fill="EAF2F8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291FB1E" w14:textId="77777777" w:rsidR="00044118" w:rsidRDefault="00702559">
            <w:pPr>
              <w:jc w:val="center"/>
            </w:pPr>
            <w:r>
              <w:rPr>
                <w:rFonts w:ascii="Aptos Display" w:hAnsi="Aptos Display"/>
                <w:b/>
                <w:color w:val="17324D"/>
                <w:sz w:val="22"/>
              </w:rPr>
              <w:t>Start small does not mean start trivial. Choose a transformation meaningful enough to test the methodology, bounded enough to govern, and observable enough to learn from.</w:t>
            </w:r>
          </w:p>
        </w:tc>
      </w:tr>
    </w:tbl>
    <w:p w14:paraId="40E0ECF3" w14:textId="77777777" w:rsidR="00044118" w:rsidRDefault="00044118"/>
    <w:p w14:paraId="0FEEF04F" w14:textId="77777777" w:rsidR="00044118" w:rsidRDefault="00702559">
      <w:pPr>
        <w:pStyle w:val="Heading1"/>
      </w:pPr>
      <w:r>
        <w:t>2. Days 1-30 - Learn, Select, and Frame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044118" w14:paraId="37ADF655" w14:textId="77777777">
        <w:trPr>
          <w:tblHeader/>
          <w:jc w:val="center"/>
        </w:trPr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C85CBDB" w14:textId="77777777" w:rsidR="00044118" w:rsidRDefault="00702559">
            <w:r>
              <w:rPr>
                <w:b/>
                <w:color w:val="FFFFFF"/>
                <w:sz w:val="16"/>
              </w:rPr>
              <w:t>Workstream</w:t>
            </w:r>
          </w:p>
        </w:tc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EA8380" w14:textId="77777777" w:rsidR="00044118" w:rsidRDefault="00702559">
            <w:r>
              <w:rPr>
                <w:b/>
                <w:color w:val="FFFFFF"/>
                <w:sz w:val="16"/>
              </w:rPr>
              <w:t>Actions</w:t>
            </w:r>
          </w:p>
        </w:tc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6C39167" w14:textId="77777777" w:rsidR="00044118" w:rsidRDefault="00702559">
            <w:r>
              <w:rPr>
                <w:b/>
                <w:color w:val="FFFFFF"/>
                <w:sz w:val="16"/>
              </w:rPr>
              <w:t>Outputs</w:t>
            </w:r>
          </w:p>
        </w:tc>
      </w:tr>
      <w:tr w:rsidR="00044118" w14:paraId="334FC007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7CFF385" w14:textId="77777777" w:rsidR="00044118" w:rsidRDefault="00702559">
            <w:r>
              <w:rPr>
                <w:sz w:val="15"/>
              </w:rPr>
              <w:t>Executive Alignment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FBE0A95" w14:textId="77777777" w:rsidR="00044118" w:rsidRDefault="00702559">
            <w:r>
              <w:rPr>
                <w:sz w:val="15"/>
              </w:rPr>
              <w:t>Confirm sponsor, transformation purpose, Target Future direction, decision rights, and pilot boundaries.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8A8EB17" w14:textId="77777777" w:rsidR="00044118" w:rsidRDefault="00702559">
            <w:r>
              <w:rPr>
                <w:sz w:val="15"/>
              </w:rPr>
              <w:t>Sponsor charter; initial Target Future; pilot scope</w:t>
            </w:r>
          </w:p>
        </w:tc>
      </w:tr>
      <w:tr w:rsidR="00044118" w14:paraId="742A1119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5868AE3" w14:textId="77777777" w:rsidR="00044118" w:rsidRDefault="00702559">
            <w:r>
              <w:rPr>
                <w:sz w:val="15"/>
              </w:rPr>
              <w:t>Methodology Orientation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58ADEBC" w14:textId="77777777" w:rsidR="00044118" w:rsidRDefault="00702559">
            <w:r>
              <w:rPr>
                <w:sz w:val="15"/>
              </w:rPr>
              <w:t>Train core participants on TRANT, Trants, four Roles, Role vs. Worker, Execution Drivers, UWC, KEA, Navigators, and Trantiator boundary.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B8FBBF3" w14:textId="77777777" w:rsidR="00044118" w:rsidRDefault="00702559">
            <w:r>
              <w:rPr>
                <w:sz w:val="15"/>
              </w:rPr>
              <w:t>Shared language; named initial Role participants</w:t>
            </w:r>
          </w:p>
        </w:tc>
      </w:tr>
      <w:tr w:rsidR="00044118" w14:paraId="72DB2AAA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CDED24A" w14:textId="77777777" w:rsidR="00044118" w:rsidRDefault="00702559">
            <w:r>
              <w:rPr>
                <w:sz w:val="15"/>
              </w:rPr>
              <w:t>Pilot Selection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B360B11" w14:textId="77777777" w:rsidR="00044118" w:rsidRDefault="00702559">
            <w:r>
              <w:rPr>
                <w:sz w:val="15"/>
              </w:rPr>
              <w:t>Assess candidate transformations for value, boundedness, observability, governability, dependency complexity, and risk.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3536F21" w14:textId="77777777" w:rsidR="00044118" w:rsidRDefault="00702559">
            <w:r>
              <w:rPr>
                <w:sz w:val="15"/>
              </w:rPr>
              <w:t>Selected pilot</w:t>
            </w:r>
          </w:p>
        </w:tc>
      </w:tr>
      <w:tr w:rsidR="00044118" w14:paraId="4A64B23A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D00A841" w14:textId="77777777" w:rsidR="00044118" w:rsidRDefault="00702559">
            <w:r>
              <w:rPr>
                <w:sz w:val="15"/>
              </w:rPr>
              <w:t>Current-State Intake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D43A00C" w14:textId="77777777" w:rsidR="00044118" w:rsidRDefault="00702559">
            <w:r>
              <w:rPr>
                <w:sz w:val="15"/>
              </w:rPr>
              <w:t>Collect current architecture, process, risk/control, data, project, and operational evidence.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65FF5C8" w14:textId="77777777" w:rsidR="00044118" w:rsidRDefault="00702559">
            <w:r>
              <w:rPr>
                <w:sz w:val="15"/>
              </w:rPr>
              <w:t>Initial Artifact set</w:t>
            </w:r>
          </w:p>
        </w:tc>
      </w:tr>
      <w:tr w:rsidR="00044118" w14:paraId="06278A8D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4163A3B" w14:textId="77777777" w:rsidR="00044118" w:rsidRDefault="00702559">
            <w:r>
              <w:rPr>
                <w:sz w:val="15"/>
              </w:rPr>
              <w:t>Worker Inventory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3C4B723" w14:textId="77777777" w:rsidR="00044118" w:rsidRDefault="00702559">
            <w:r>
              <w:rPr>
                <w:sz w:val="15"/>
              </w:rPr>
              <w:t>Identify Human/AI/System/Team/Hybrid candidates and known capabilities/constraints.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CB27B0E" w14:textId="77777777" w:rsidR="00044118" w:rsidRDefault="00702559">
            <w:r>
              <w:rPr>
                <w:sz w:val="15"/>
              </w:rPr>
              <w:t>Lightweight Worker inventory</w:t>
            </w:r>
          </w:p>
        </w:tc>
      </w:tr>
      <w:tr w:rsidR="00044118" w14:paraId="70EF610F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5FAFB1F" w14:textId="77777777" w:rsidR="00044118" w:rsidRDefault="00702559">
            <w:r>
              <w:rPr>
                <w:sz w:val="15"/>
              </w:rPr>
              <w:t>Governance Baseline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809B11" w14:textId="77777777" w:rsidR="00044118" w:rsidRDefault="00702559">
            <w:r>
              <w:rPr>
                <w:sz w:val="15"/>
              </w:rPr>
              <w:t>Identify existing risk, security, compliance, IAM, data, and approval policies that will constrain participation.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8C9CDF6" w14:textId="77777777" w:rsidR="00044118" w:rsidRDefault="00702559">
            <w:r>
              <w:rPr>
                <w:sz w:val="15"/>
              </w:rPr>
              <w:t>Governance Policy inputs</w:t>
            </w:r>
          </w:p>
        </w:tc>
      </w:tr>
    </w:tbl>
    <w:p w14:paraId="2A6B5EAF" w14:textId="77777777" w:rsidR="00044118" w:rsidRDefault="00044118"/>
    <w:p w14:paraId="741C1824" w14:textId="77777777" w:rsidR="00044118" w:rsidRDefault="00702559">
      <w:pPr>
        <w:pStyle w:val="Heading2"/>
      </w:pPr>
      <w:r>
        <w:t>Days 1-30 Exit Criteria</w:t>
      </w:r>
    </w:p>
    <w:p w14:paraId="74D72299" w14:textId="77777777" w:rsidR="00044118" w:rsidRDefault="00702559">
      <w:pPr>
        <w:pStyle w:val="ListBullet"/>
        <w:spacing w:after="50"/>
      </w:pPr>
      <w:r>
        <w:t>Pilot selected and sponsored.</w:t>
      </w:r>
    </w:p>
    <w:p w14:paraId="7C573BCB" w14:textId="77777777" w:rsidR="00044118" w:rsidRDefault="00702559">
      <w:pPr>
        <w:pStyle w:val="ListBullet"/>
        <w:spacing w:after="50"/>
      </w:pPr>
      <w:r>
        <w:t>Target Future direction is sufficiently concrete to begin Trant 0.</w:t>
      </w:r>
    </w:p>
    <w:p w14:paraId="399DD076" w14:textId="77777777" w:rsidR="00044118" w:rsidRDefault="00702559">
      <w:pPr>
        <w:pStyle w:val="ListBullet"/>
        <w:spacing w:after="50"/>
      </w:pPr>
      <w:r>
        <w:t>Initial Seer, Maker, Checker, and Buyer responsibilities are identified.</w:t>
      </w:r>
    </w:p>
    <w:p w14:paraId="76530020" w14:textId="77777777" w:rsidR="00044118" w:rsidRDefault="00702559">
      <w:pPr>
        <w:pStyle w:val="ListBullet"/>
        <w:spacing w:after="50"/>
      </w:pPr>
      <w:r>
        <w:t>Known governance constraints are visible.</w:t>
      </w:r>
    </w:p>
    <w:p w14:paraId="6938D3D8" w14:textId="77777777" w:rsidR="00044118" w:rsidRDefault="00702559">
      <w:pPr>
        <w:pStyle w:val="ListBullet"/>
        <w:spacing w:after="50"/>
      </w:pPr>
      <w:r>
        <w:t>Core team can explain UWC vs. TWO and Checker vs. Buyer.</w:t>
      </w:r>
    </w:p>
    <w:p w14:paraId="4423E800" w14:textId="77777777" w:rsidR="00044118" w:rsidRDefault="00702559">
      <w:pPr>
        <w:pStyle w:val="ListBullet"/>
        <w:spacing w:after="50"/>
      </w:pPr>
      <w:r>
        <w:t>Trant 0 can begin without waiting for perfect documentation.</w:t>
      </w:r>
    </w:p>
    <w:p w14:paraId="30881C5F" w14:textId="77777777" w:rsidR="00044118" w:rsidRDefault="00702559">
      <w:pPr>
        <w:pStyle w:val="Heading1"/>
      </w:pPr>
      <w:r>
        <w:t>3. Days 31-60 - Run Trant 0 and Prepare Governed Execution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044118" w14:paraId="6F98065C" w14:textId="77777777">
        <w:trPr>
          <w:tblHeader/>
          <w:jc w:val="center"/>
        </w:trPr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0B53037" w14:textId="77777777" w:rsidR="00044118" w:rsidRDefault="00702559">
            <w:r>
              <w:rPr>
                <w:b/>
                <w:color w:val="FFFFFF"/>
                <w:sz w:val="16"/>
              </w:rPr>
              <w:t>Focus</w:t>
            </w:r>
          </w:p>
        </w:tc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207A7A9" w14:textId="77777777" w:rsidR="00044118" w:rsidRDefault="00702559">
            <w:r>
              <w:rPr>
                <w:b/>
                <w:color w:val="FFFFFF"/>
                <w:sz w:val="16"/>
              </w:rPr>
              <w:t>Actions</w:t>
            </w:r>
          </w:p>
        </w:tc>
        <w:tc>
          <w:tcPr>
            <w:tcW w:w="3389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AB7FE00" w14:textId="77777777" w:rsidR="00044118" w:rsidRDefault="00702559">
            <w:r>
              <w:rPr>
                <w:b/>
                <w:color w:val="FFFFFF"/>
                <w:sz w:val="16"/>
              </w:rPr>
              <w:t>Outputs</w:t>
            </w:r>
          </w:p>
        </w:tc>
      </w:tr>
      <w:tr w:rsidR="00044118" w14:paraId="0DA4988D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638F8C0" w14:textId="77777777" w:rsidR="00044118" w:rsidRDefault="00702559">
            <w:r>
              <w:rPr>
                <w:sz w:val="15"/>
              </w:rPr>
              <w:lastRenderedPageBreak/>
              <w:t>Target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2ABA502" w14:textId="77777777" w:rsidR="00044118" w:rsidRDefault="00702559">
            <w:r>
              <w:rPr>
                <w:sz w:val="15"/>
              </w:rPr>
              <w:t>Refine the Target Future and define Trant-level value and closure conditions.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DE60D99" w14:textId="77777777" w:rsidR="00044118" w:rsidRDefault="00702559">
            <w:r>
              <w:rPr>
                <w:sz w:val="15"/>
              </w:rPr>
              <w:t>Target Future; TOC baseline</w:t>
            </w:r>
          </w:p>
        </w:tc>
      </w:tr>
      <w:tr w:rsidR="00044118" w14:paraId="2D1E5F8F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E7D1743" w14:textId="77777777" w:rsidR="00044118" w:rsidRDefault="00702559">
            <w:r>
              <w:rPr>
                <w:sz w:val="15"/>
              </w:rPr>
              <w:t>Review / VEM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FF24E77" w14:textId="77777777" w:rsidR="00044118" w:rsidRDefault="00702559">
            <w:r>
              <w:rPr>
                <w:sz w:val="15"/>
              </w:rPr>
              <w:t>Extract, evaluate, and disposition legacy capabilities, rules, data, dependencies, controls, and behaviors.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DB8FF14" w14:textId="77777777" w:rsidR="00044118" w:rsidRDefault="00702559">
            <w:r>
              <w:rPr>
                <w:sz w:val="15"/>
              </w:rPr>
              <w:t>Preserve / Enhance / Retire / Risk findings</w:t>
            </w:r>
          </w:p>
        </w:tc>
      </w:tr>
      <w:tr w:rsidR="00044118" w14:paraId="75A6019D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144BAC2" w14:textId="77777777" w:rsidR="00044118" w:rsidRDefault="00702559">
            <w:r>
              <w:rPr>
                <w:sz w:val="15"/>
              </w:rPr>
              <w:t>Analyze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4BD54BB" w14:textId="77777777" w:rsidR="00044118" w:rsidRDefault="00702559">
            <w:r>
              <w:rPr>
                <w:sz w:val="15"/>
              </w:rPr>
              <w:t>Identify capability, data, integration, operational, risk, assurance, and Worker gaps.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E6862E0" w14:textId="77777777" w:rsidR="00044118" w:rsidRDefault="00702559">
            <w:r>
              <w:rPr>
                <w:sz w:val="15"/>
              </w:rPr>
              <w:t>Gap map</w:t>
            </w:r>
          </w:p>
        </w:tc>
      </w:tr>
      <w:tr w:rsidR="00044118" w14:paraId="01BF038B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C98E6DB" w14:textId="77777777" w:rsidR="00044118" w:rsidRDefault="00702559">
            <w:r>
              <w:rPr>
                <w:sz w:val="15"/>
              </w:rPr>
              <w:t>Navigate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DD6575" w14:textId="77777777" w:rsidR="00044118" w:rsidRDefault="00702559">
            <w:r>
              <w:rPr>
                <w:sz w:val="15"/>
              </w:rPr>
              <w:t>Select bounded first movement and required safeguards.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88A03C3" w14:textId="77777777" w:rsidR="00044118" w:rsidRDefault="00702559">
            <w:r>
              <w:rPr>
                <w:sz w:val="15"/>
              </w:rPr>
              <w:t>Initial sequence; dependencies; assurance needs</w:t>
            </w:r>
          </w:p>
        </w:tc>
      </w:tr>
      <w:tr w:rsidR="00044118" w14:paraId="2990993B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7F7ABB6" w14:textId="77777777" w:rsidR="00044118" w:rsidRDefault="00702559">
            <w:r>
              <w:rPr>
                <w:sz w:val="15"/>
              </w:rPr>
              <w:t>Roles &amp; Workers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3833226" w14:textId="77777777" w:rsidR="00044118" w:rsidRDefault="00702559">
            <w:r>
              <w:rPr>
                <w:sz w:val="15"/>
              </w:rPr>
              <w:t>Define Role responsibilities, capability needs, candidate Workers, and independence requirements.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B279BCC" w14:textId="77777777" w:rsidR="00044118" w:rsidRDefault="00702559">
            <w:r>
              <w:rPr>
                <w:sz w:val="15"/>
              </w:rPr>
              <w:t>Role requirements; Worker candidates</w:t>
            </w:r>
          </w:p>
        </w:tc>
      </w:tr>
      <w:tr w:rsidR="00044118" w14:paraId="43DA2009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B534826" w14:textId="77777777" w:rsidR="00044118" w:rsidRDefault="00702559">
            <w:r>
              <w:rPr>
                <w:sz w:val="15"/>
              </w:rPr>
              <w:t>UWC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50399DF" w14:textId="77777777" w:rsidR="00044118" w:rsidRDefault="00702559">
            <w:r>
              <w:rPr>
                <w:sz w:val="15"/>
              </w:rPr>
              <w:t>Establish applicable identity, capability, authority, autonomy, access, guardrails, evidence, escalation, and accountability conditions.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632BF19" w14:textId="77777777" w:rsidR="00044118" w:rsidRDefault="00702559">
            <w:r>
              <w:rPr>
                <w:sz w:val="15"/>
              </w:rPr>
              <w:t>UWC baseline(s)</w:t>
            </w:r>
          </w:p>
        </w:tc>
      </w:tr>
      <w:tr w:rsidR="00044118" w14:paraId="47FC6E3A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20BE013" w14:textId="77777777" w:rsidR="00044118" w:rsidRDefault="00702559">
            <w:r>
              <w:rPr>
                <w:sz w:val="15"/>
              </w:rPr>
              <w:t>TWOs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C9FF479" w14:textId="77777777" w:rsidR="00044118" w:rsidRDefault="00702559">
            <w:r>
              <w:rPr>
                <w:sz w:val="15"/>
              </w:rPr>
              <w:t>Create MWO/CWO/SWO/BWO work for first execution movement.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F7288F1" w14:textId="77777777" w:rsidR="00044118" w:rsidRDefault="00702559">
            <w:r>
              <w:rPr>
                <w:sz w:val="15"/>
              </w:rPr>
              <w:t>Governed TWOs</w:t>
            </w:r>
          </w:p>
        </w:tc>
      </w:tr>
      <w:tr w:rsidR="00044118" w14:paraId="0EA5FE67" w14:textId="77777777">
        <w:trPr>
          <w:jc w:val="center"/>
        </w:trPr>
        <w:tc>
          <w:tcPr>
            <w:tcW w:w="3389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A1D7765" w14:textId="77777777" w:rsidR="00044118" w:rsidRDefault="00702559">
            <w:r>
              <w:rPr>
                <w:sz w:val="15"/>
              </w:rPr>
              <w:t>KEA &amp; Navigators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77A2CBE" w14:textId="77777777" w:rsidR="00044118" w:rsidRDefault="00702559">
            <w:r>
              <w:rPr>
                <w:sz w:val="15"/>
              </w:rPr>
              <w:t>Define evidence capture and initial Watch/Snap/Compass views.</w:t>
            </w:r>
          </w:p>
        </w:tc>
        <w:tc>
          <w:tcPr>
            <w:tcW w:w="3389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51340B3" w14:textId="77777777" w:rsidR="00044118" w:rsidRDefault="00702559">
            <w:r>
              <w:rPr>
                <w:sz w:val="15"/>
              </w:rPr>
              <w:t>Evidence plan; visibility baseline</w:t>
            </w:r>
          </w:p>
        </w:tc>
      </w:tr>
    </w:tbl>
    <w:p w14:paraId="111D7410" w14:textId="77777777" w:rsidR="00044118" w:rsidRDefault="00044118"/>
    <w:p w14:paraId="31FA3798" w14:textId="77777777" w:rsidR="00044118" w:rsidRDefault="00702559">
      <w:pPr>
        <w:pStyle w:val="Heading2"/>
      </w:pPr>
      <w:r>
        <w:t>Days 31-60 Exit Criteria</w:t>
      </w:r>
    </w:p>
    <w:p w14:paraId="67339B62" w14:textId="77777777" w:rsidR="00044118" w:rsidRDefault="00702559">
      <w:pPr>
        <w:pStyle w:val="ListBullet"/>
        <w:spacing w:after="50"/>
      </w:pPr>
      <w:r>
        <w:t>Trant 0 has a credible TOR or is ready for closure.</w:t>
      </w:r>
    </w:p>
    <w:p w14:paraId="41DCDE49" w14:textId="77777777" w:rsidR="00044118" w:rsidRDefault="00702559">
      <w:pPr>
        <w:pStyle w:val="ListBullet"/>
        <w:spacing w:after="50"/>
      </w:pPr>
      <w:r>
        <w:t>Initial TWOs can be issued without inventing authority at runtime.</w:t>
      </w:r>
    </w:p>
    <w:p w14:paraId="51486EA2" w14:textId="77777777" w:rsidR="00044118" w:rsidRDefault="00702559">
      <w:pPr>
        <w:pStyle w:val="ListBullet"/>
        <w:spacing w:after="50"/>
      </w:pPr>
      <w:r>
        <w:t>Material Workers have appropriate UWC conditions.</w:t>
      </w:r>
    </w:p>
    <w:p w14:paraId="62C92E11" w14:textId="77777777" w:rsidR="00044118" w:rsidRDefault="00702559">
      <w:pPr>
        <w:pStyle w:val="ListBullet"/>
        <w:spacing w:after="50"/>
      </w:pPr>
      <w:r>
        <w:t>Independent assurance needs are clear.</w:t>
      </w:r>
    </w:p>
    <w:p w14:paraId="5AF92D9F" w14:textId="77777777" w:rsidR="00044118" w:rsidRDefault="00702559">
      <w:pPr>
        <w:pStyle w:val="ListBullet"/>
        <w:spacing w:after="50"/>
      </w:pPr>
      <w:r>
        <w:t>HOLD and ESCALATE conditions are known.</w:t>
      </w:r>
    </w:p>
    <w:p w14:paraId="245818BC" w14:textId="77777777" w:rsidR="00044118" w:rsidRDefault="00702559">
      <w:pPr>
        <w:pStyle w:val="ListBullet"/>
        <w:spacing w:after="50"/>
      </w:pPr>
      <w:r>
        <w:t>Evidence obligations are established.</w:t>
      </w:r>
    </w:p>
    <w:p w14:paraId="62B9B452" w14:textId="77777777" w:rsidR="00044118" w:rsidRDefault="00702559">
      <w:pPr>
        <w:pStyle w:val="ListBullet"/>
        <w:spacing w:after="50"/>
      </w:pPr>
      <w:r>
        <w:t>First substantive Trant is ready to PROCEED.</w:t>
      </w:r>
    </w:p>
    <w:p w14:paraId="09478755" w14:textId="77777777" w:rsidR="00044118" w:rsidRDefault="00702559">
      <w:pPr>
        <w:pStyle w:val="Heading1"/>
      </w:pPr>
      <w:r>
        <w:t>4. Days 61-90 - Execute, Assure, Close, and Learn</w:t>
      </w:r>
    </w:p>
    <w:p w14:paraId="181F7DAE" w14:textId="77777777" w:rsidR="00044118" w:rsidRDefault="00702559">
      <w:pPr>
        <w:pStyle w:val="ListNumber"/>
        <w:spacing w:after="50"/>
      </w:pPr>
      <w:r>
        <w:t>Execute bounded TWOs through eligible Workers.</w:t>
      </w:r>
    </w:p>
    <w:p w14:paraId="0B253FBA" w14:textId="77777777" w:rsidR="00044118" w:rsidRDefault="00702559">
      <w:pPr>
        <w:pStyle w:val="ListNumber"/>
        <w:spacing w:after="50"/>
      </w:pPr>
      <w:r>
        <w:t>Capture execution evidence as close to work as practical.</w:t>
      </w:r>
    </w:p>
    <w:p w14:paraId="2F0A68EF" w14:textId="77777777" w:rsidR="00044118" w:rsidRDefault="00702559">
      <w:pPr>
        <w:pStyle w:val="ListNumber"/>
        <w:spacing w:after="50"/>
      </w:pPr>
      <w:r>
        <w:t>Run Checker assurance independently where required.</w:t>
      </w:r>
    </w:p>
    <w:p w14:paraId="3D6872AA" w14:textId="77777777" w:rsidR="00044118" w:rsidRDefault="00702559">
      <w:pPr>
        <w:pStyle w:val="ListNumber"/>
        <w:spacing w:after="50"/>
      </w:pPr>
      <w:r>
        <w:t>Run Buyer evaluation/acceptance separately from Checker assurance.</w:t>
      </w:r>
    </w:p>
    <w:p w14:paraId="6B03B56D" w14:textId="77777777" w:rsidR="00044118" w:rsidRDefault="00702559">
      <w:pPr>
        <w:pStyle w:val="ListNumber"/>
        <w:spacing w:after="50"/>
      </w:pPr>
      <w:r>
        <w:t>Use Daily Pulse and Weekly Connect for native synchronization.</w:t>
      </w:r>
    </w:p>
    <w:p w14:paraId="0854165B" w14:textId="77777777" w:rsidR="00044118" w:rsidRDefault="00702559">
      <w:pPr>
        <w:pStyle w:val="ListNumber"/>
        <w:spacing w:after="50"/>
      </w:pPr>
      <w:r>
        <w:t>Use HOLD / ESCALATE rather than silent scope or authority expansion.</w:t>
      </w:r>
    </w:p>
    <w:p w14:paraId="1CEA48FF" w14:textId="77777777" w:rsidR="00044118" w:rsidRDefault="00702559">
      <w:pPr>
        <w:pStyle w:val="ListNumber"/>
        <w:spacing w:after="50"/>
      </w:pPr>
      <w:r>
        <w:t>Update KEA and Navigator state.</w:t>
      </w:r>
    </w:p>
    <w:p w14:paraId="62FF315B" w14:textId="77777777" w:rsidR="00044118" w:rsidRDefault="00702559">
      <w:pPr>
        <w:pStyle w:val="ListNumber"/>
        <w:spacing w:after="50"/>
      </w:pPr>
      <w:r>
        <w:t>Complete TOR and Snap.</w:t>
      </w:r>
    </w:p>
    <w:p w14:paraId="73155E46" w14:textId="77777777" w:rsidR="00044118" w:rsidRDefault="00702559">
      <w:pPr>
        <w:pStyle w:val="ListNumber"/>
        <w:spacing w:after="50"/>
      </w:pPr>
      <w:r>
        <w:t>Assemble TCAP where required.</w:t>
      </w:r>
    </w:p>
    <w:p w14:paraId="15CEAB0E" w14:textId="77777777" w:rsidR="00044118" w:rsidRDefault="00702559">
      <w:pPr>
        <w:pStyle w:val="ListNumber"/>
        <w:spacing w:after="50"/>
      </w:pPr>
      <w:r>
        <w:t>Run a structured adoption retrospective focused on methodology use, not only project outcome.</w:t>
      </w:r>
    </w:p>
    <w:p w14:paraId="3484E2DF" w14:textId="77777777" w:rsidR="00044118" w:rsidRDefault="00702559">
      <w:pPr>
        <w:pStyle w:val="Heading1"/>
      </w:pPr>
      <w:r>
        <w:lastRenderedPageBreak/>
        <w:t>5. 90-Day Review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044118" w14:paraId="1DE9FDE5" w14:textId="77777777">
        <w:trPr>
          <w:tblHeader/>
          <w:jc w:val="center"/>
        </w:trPr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90053FC" w14:textId="77777777" w:rsidR="00044118" w:rsidRDefault="00702559">
            <w:r>
              <w:rPr>
                <w:b/>
                <w:color w:val="FFFFFF"/>
                <w:sz w:val="16"/>
              </w:rPr>
              <w:t>Question</w:t>
            </w:r>
          </w:p>
        </w:tc>
        <w:tc>
          <w:tcPr>
            <w:tcW w:w="5083" w:type="dxa"/>
            <w:shd w:val="clear" w:color="auto" w:fill="17324D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CA2D59E" w14:textId="77777777" w:rsidR="00044118" w:rsidRDefault="00702559">
            <w:r>
              <w:rPr>
                <w:b/>
                <w:color w:val="FFFFFF"/>
                <w:sz w:val="16"/>
              </w:rPr>
              <w:t>Evidence to Review</w:t>
            </w:r>
          </w:p>
        </w:tc>
      </w:tr>
      <w:tr w:rsidR="00044118" w14:paraId="289BF765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4BDF875" w14:textId="77777777" w:rsidR="00044118" w:rsidRDefault="00702559">
            <w:r>
              <w:rPr>
                <w:sz w:val="15"/>
              </w:rPr>
              <w:t>Did the methodology improve transformation clarity?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76F1782B" w14:textId="77777777" w:rsidR="00044118" w:rsidRDefault="00702559">
            <w:r>
              <w:rPr>
                <w:sz w:val="15"/>
              </w:rPr>
              <w:t>TOC, Target Future, Snap, decisions</w:t>
            </w:r>
          </w:p>
        </w:tc>
      </w:tr>
      <w:tr w:rsidR="00044118" w14:paraId="48C09CBC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26E9538" w14:textId="77777777" w:rsidR="00044118" w:rsidRDefault="00702559">
            <w:r>
              <w:rPr>
                <w:sz w:val="15"/>
              </w:rPr>
              <w:t>Did Role separation improve accountability?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5F294F" w14:textId="77777777" w:rsidR="00044118" w:rsidRDefault="00702559">
            <w:r>
              <w:rPr>
                <w:sz w:val="15"/>
              </w:rPr>
              <w:t>Role assignments, Checker/Buyer evidence, Seer decisions</w:t>
            </w:r>
          </w:p>
        </w:tc>
      </w:tr>
      <w:tr w:rsidR="00044118" w14:paraId="6A910731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049AB65" w14:textId="77777777" w:rsidR="00044118" w:rsidRDefault="00702559">
            <w:r>
              <w:rPr>
                <w:sz w:val="15"/>
              </w:rPr>
              <w:t>Did UWC improve Worker governance?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45410607" w14:textId="77777777" w:rsidR="00044118" w:rsidRDefault="00702559">
            <w:r>
              <w:rPr>
                <w:sz w:val="15"/>
              </w:rPr>
              <w:t>UWC exceptions, access/authority issues, HOLD/ESCALATE events</w:t>
            </w:r>
          </w:p>
        </w:tc>
      </w:tr>
      <w:tr w:rsidR="00044118" w14:paraId="633E0DD3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8CDDC09" w14:textId="77777777" w:rsidR="00044118" w:rsidRDefault="00702559">
            <w:r>
              <w:rPr>
                <w:sz w:val="15"/>
              </w:rPr>
              <w:t>Did KEA reduce reconstruction effort?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C7F1B0F" w14:textId="77777777" w:rsidR="00044118" w:rsidRDefault="00702559">
            <w:r>
              <w:rPr>
                <w:sz w:val="15"/>
              </w:rPr>
              <w:t>Evidence capture, documentation outputs, audit readiness</w:t>
            </w:r>
          </w:p>
        </w:tc>
      </w:tr>
      <w:tr w:rsidR="00044118" w14:paraId="05338AA3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5EA54FC3" w14:textId="77777777" w:rsidR="00044118" w:rsidRDefault="00702559">
            <w:r>
              <w:rPr>
                <w:sz w:val="15"/>
              </w:rPr>
              <w:t>Did Trants make progress more visible?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6F1CC34" w14:textId="77777777" w:rsidR="00044118" w:rsidRDefault="00702559">
            <w:r>
              <w:rPr>
                <w:sz w:val="15"/>
              </w:rPr>
              <w:t>TORs, Snaps, value movement</w:t>
            </w:r>
          </w:p>
        </w:tc>
      </w:tr>
      <w:tr w:rsidR="00044118" w14:paraId="2FA8E4DB" w14:textId="77777777">
        <w:trPr>
          <w:jc w:val="center"/>
        </w:trPr>
        <w:tc>
          <w:tcPr>
            <w:tcW w:w="5083" w:type="dxa"/>
            <w:shd w:val="clear" w:color="auto" w:fill="F3F5F7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255A34FB" w14:textId="77777777" w:rsidR="00044118" w:rsidRDefault="00702559">
            <w:r>
              <w:rPr>
                <w:sz w:val="15"/>
              </w:rPr>
              <w:t>What should scale?</w:t>
            </w:r>
          </w:p>
        </w:tc>
        <w:tc>
          <w:tcPr>
            <w:tcW w:w="5083" w:type="dxa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AF49A4" w14:textId="77777777" w:rsidR="00044118" w:rsidRDefault="00702559">
            <w:r>
              <w:rPr>
                <w:sz w:val="15"/>
              </w:rPr>
              <w:t>Reusable UWC patterns, templates, Checker patterns, Worker catalog, governance mappings</w:t>
            </w:r>
          </w:p>
        </w:tc>
      </w:tr>
    </w:tbl>
    <w:p w14:paraId="7D607BF3" w14:textId="77777777" w:rsidR="00044118" w:rsidRDefault="00044118"/>
    <w:p w14:paraId="798003AC" w14:textId="77777777" w:rsidR="00044118" w:rsidRDefault="00702559">
      <w:pPr>
        <w:pStyle w:val="Heading1"/>
      </w:pPr>
      <w:r>
        <w:t>6. What Not to Do in the First 90 Days</w:t>
      </w:r>
    </w:p>
    <w:p w14:paraId="3F19DAFD" w14:textId="77777777" w:rsidR="00044118" w:rsidRDefault="00702559">
      <w:pPr>
        <w:pStyle w:val="ListBullet"/>
        <w:spacing w:after="50"/>
      </w:pPr>
      <w:r>
        <w:t>Do not attempt to replace every existing delivery tool.</w:t>
      </w:r>
    </w:p>
    <w:p w14:paraId="5DF2FF57" w14:textId="77777777" w:rsidR="00044118" w:rsidRDefault="00702559">
      <w:pPr>
        <w:pStyle w:val="ListBullet"/>
        <w:spacing w:after="50"/>
      </w:pPr>
      <w:r>
        <w:t>Do not force every enterprise meeting into Daily Pulse or Weekly Connect.</w:t>
      </w:r>
    </w:p>
    <w:p w14:paraId="4E3A87DE" w14:textId="77777777" w:rsidR="00044118" w:rsidRDefault="00702559">
      <w:pPr>
        <w:pStyle w:val="ListBullet"/>
        <w:spacing w:after="50"/>
      </w:pPr>
      <w:r>
        <w:t>Do not maximize A4 autonomy as a maturity goal.</w:t>
      </w:r>
    </w:p>
    <w:p w14:paraId="367B32A1" w14:textId="77777777" w:rsidR="00044118" w:rsidRDefault="00702559">
      <w:pPr>
        <w:pStyle w:val="ListBullet"/>
        <w:spacing w:after="50"/>
      </w:pPr>
      <w:r>
        <w:t>Do not create enterprise-wide UWC complexity before proving a bounded pattern.</w:t>
      </w:r>
    </w:p>
    <w:p w14:paraId="2F52224E" w14:textId="77777777" w:rsidR="00044118" w:rsidRDefault="00702559">
      <w:pPr>
        <w:pStyle w:val="ListBullet"/>
        <w:spacing w:after="50"/>
      </w:pPr>
      <w:r>
        <w:t>Do not treat Trantiator implementation as a prerequisite for methodology adoption.</w:t>
      </w:r>
    </w:p>
    <w:p w14:paraId="7CFADFAD" w14:textId="77777777" w:rsidR="00044118" w:rsidRDefault="00702559">
      <w:pPr>
        <w:pStyle w:val="ListBullet"/>
        <w:spacing w:after="50"/>
      </w:pPr>
      <w:r>
        <w:t>Do not call activity success if Target Future movement is not evidenced.</w:t>
      </w:r>
    </w:p>
    <w:sectPr w:rsidR="00044118" w:rsidSect="00034616">
      <w:headerReference w:type="default" r:id="rId8"/>
      <w:footerReference w:type="default" r:id="rId9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659CD" w14:textId="77777777" w:rsidR="00702559" w:rsidRDefault="00702559">
      <w:pPr>
        <w:spacing w:after="0" w:line="240" w:lineRule="auto"/>
      </w:pPr>
      <w:r>
        <w:separator/>
      </w:r>
    </w:p>
  </w:endnote>
  <w:endnote w:type="continuationSeparator" w:id="0">
    <w:p w14:paraId="1A58385F" w14:textId="77777777" w:rsidR="00702559" w:rsidRDefault="00702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60623" w14:textId="57D4F125" w:rsidR="00044118" w:rsidRDefault="00702559">
    <w:pPr>
      <w:pStyle w:val="Footer"/>
      <w:jc w:val="center"/>
    </w:pPr>
    <w:r>
      <w:rPr>
        <w:color w:val="4E79A7"/>
        <w:sz w:val="14"/>
      </w:rPr>
      <w:t>TRANTIATE</w:t>
    </w:r>
    <w:r>
      <w:rPr>
        <w:color w:val="4E79A7"/>
        <w:sz w:val="14"/>
      </w:rPr>
      <w:t xml:space="preserve"> Supplement | Version 1.0 | 2026 | </w:t>
    </w:r>
    <w:r>
      <w:fldChar w:fldCharType="begin"/>
    </w:r>
    <w:r>
      <w:instrText>PAGE</w:instrText>
    </w:r>
    <w:r>
      <w:fldChar w:fldCharType="separate"/>
    </w:r>
    <w:r w:rsidR="00A60EC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4B183" w14:textId="77777777" w:rsidR="00702559" w:rsidRDefault="00702559">
      <w:pPr>
        <w:spacing w:after="0" w:line="240" w:lineRule="auto"/>
      </w:pPr>
      <w:r>
        <w:separator/>
      </w:r>
    </w:p>
  </w:footnote>
  <w:footnote w:type="continuationSeparator" w:id="0">
    <w:p w14:paraId="6C651BE9" w14:textId="77777777" w:rsidR="00702559" w:rsidRDefault="00702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F433A" w14:textId="2B4381BD" w:rsidR="00044118" w:rsidRDefault="00702559">
    <w:pPr>
      <w:pStyle w:val="Header"/>
      <w:jc w:val="right"/>
    </w:pPr>
    <w:r>
      <w:rPr>
        <w:color w:val="4E79A7"/>
        <w:sz w:val="14"/>
      </w:rPr>
      <w:t>TRANTIATE</w:t>
    </w:r>
    <w:r>
      <w:rPr>
        <w:color w:val="4E79A7"/>
        <w:sz w:val="14"/>
      </w:rPr>
      <w:t xml:space="preserve"> V2.0 | TRANTIATE</w:t>
    </w:r>
    <w:r>
      <w:rPr>
        <w:color w:val="4E79A7"/>
        <w:sz w:val="14"/>
      </w:rPr>
      <w:t xml:space="preserve"> V2.0 30/60/90-Day Adoption Plan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242356">
    <w:abstractNumId w:val="8"/>
  </w:num>
  <w:num w:numId="2" w16cid:durableId="247158422">
    <w:abstractNumId w:val="6"/>
  </w:num>
  <w:num w:numId="3" w16cid:durableId="703015943">
    <w:abstractNumId w:val="5"/>
  </w:num>
  <w:num w:numId="4" w16cid:durableId="1731994481">
    <w:abstractNumId w:val="4"/>
  </w:num>
  <w:num w:numId="5" w16cid:durableId="754860702">
    <w:abstractNumId w:val="7"/>
  </w:num>
  <w:num w:numId="6" w16cid:durableId="166337076">
    <w:abstractNumId w:val="3"/>
  </w:num>
  <w:num w:numId="7" w16cid:durableId="1891765456">
    <w:abstractNumId w:val="2"/>
  </w:num>
  <w:num w:numId="8" w16cid:durableId="527793532">
    <w:abstractNumId w:val="1"/>
  </w:num>
  <w:num w:numId="9" w16cid:durableId="1625651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4118"/>
    <w:rsid w:val="0006063C"/>
    <w:rsid w:val="0015074B"/>
    <w:rsid w:val="0029639D"/>
    <w:rsid w:val="00326F90"/>
    <w:rsid w:val="00702559"/>
    <w:rsid w:val="00A60EC2"/>
    <w:rsid w:val="00AA1D8D"/>
    <w:rsid w:val="00B47730"/>
    <w:rsid w:val="00CB0664"/>
    <w:rsid w:val="00F001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8E273074-26E7-449B-B184-C29653C4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10"/>
    </w:pPr>
    <w:rPr>
      <w:rFonts w:ascii="Aptos" w:hAnsi="Aptos"/>
      <w:color w:val="2D343B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20" w:after="100"/>
      <w:outlineLvl w:val="0"/>
    </w:pPr>
    <w:rPr>
      <w:rFonts w:asciiTheme="majorHAnsi" w:eastAsiaTheme="majorEastAsia" w:hAnsiTheme="majorHAnsi" w:cstheme="majorBidi"/>
      <w:b/>
      <w:bCs/>
      <w:color w:val="17324D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/>
      <w:b/>
      <w:bCs/>
      <w:color w:val="4E79A7"/>
      <w:sz w:val="2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20" w:after="100"/>
      <w:outlineLvl w:val="2"/>
    </w:pPr>
    <w:rPr>
      <w:rFonts w:asciiTheme="majorHAnsi" w:eastAsiaTheme="majorEastAsia" w:hAnsiTheme="majorHAnsi" w:cstheme="majorBidi"/>
      <w:b/>
      <w:bCs/>
      <w:color w:val="17324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24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oteBlock">
    <w:name w:val="QuoteBlock"/>
    <w:pPr>
      <w:ind w:left="403" w:right="259"/>
    </w:pPr>
    <w:rPr>
      <w:rFonts w:ascii="Aptos Display" w:hAnsi="Aptos Display"/>
      <w:i/>
      <w:color w:val="17324D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manish gupta</cp:lastModifiedBy>
  <cp:revision>2</cp:revision>
  <dcterms:created xsi:type="dcterms:W3CDTF">2013-12-23T23:15:00Z</dcterms:created>
  <dcterms:modified xsi:type="dcterms:W3CDTF">2026-08-29T02:43:00Z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a9d144f6-66b6-4f14-a568-b5a3dccacb82</vt:lpwstr>
  </property>
</Properties>
</file>