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19458" w14:textId="561978D2" w:rsidR="007D6D6F" w:rsidRDefault="00FB12A8">
      <w:pPr>
        <w:pStyle w:val="Title"/>
        <w:jc w:val="center"/>
      </w:pPr>
      <w:r>
        <w:t>TRANTIATE</w:t>
      </w:r>
      <w:r>
        <w:t xml:space="preserve"> V2.0 Enterprise Scaling Guide</w:t>
      </w:r>
    </w:p>
    <w:p w14:paraId="4194A50C" w14:textId="77777777" w:rsidR="007D6D6F" w:rsidRDefault="00FB12A8">
      <w:pPr>
        <w:jc w:val="center"/>
      </w:pPr>
      <w:r>
        <w:rPr>
          <w:rFonts w:ascii="Aptos Display" w:hAnsi="Aptos Display"/>
          <w:color w:val="4E79A7"/>
          <w:sz w:val="26"/>
        </w:rPr>
        <w:t>Scaling from one governed transformation to a reusable enterprise transformation capability</w:t>
      </w:r>
    </w:p>
    <w:p w14:paraId="7E8C9639" w14:textId="77777777" w:rsidR="007D6D6F" w:rsidRDefault="007D6D6F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83"/>
        <w:gridCol w:w="5083"/>
      </w:tblGrid>
      <w:tr w:rsidR="007D6D6F" w14:paraId="7D37D4E7" w14:textId="77777777">
        <w:trPr>
          <w:tblHeader/>
          <w:jc w:val="center"/>
        </w:trPr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26BF2E1" w14:textId="77777777" w:rsidR="007D6D6F" w:rsidRDefault="00FB12A8">
            <w:r>
              <w:rPr>
                <w:b/>
                <w:color w:val="FFFFFF"/>
                <w:sz w:val="17"/>
              </w:rPr>
              <w:t>Primary Audience</w:t>
            </w:r>
          </w:p>
        </w:tc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2518A6A" w14:textId="77777777" w:rsidR="007D6D6F" w:rsidRDefault="00FB12A8">
            <w:r>
              <w:rPr>
                <w:sz w:val="17"/>
              </w:rPr>
              <w:t>Enterprise transformation leaders, CIO/CDO/CTO offices, architecture, risk, PMO/Transformation Office, platform teams</w:t>
            </w:r>
          </w:p>
        </w:tc>
      </w:tr>
      <w:tr w:rsidR="007D6D6F" w14:paraId="3DC5A1CA" w14:textId="77777777">
        <w:trPr>
          <w:jc w:val="center"/>
        </w:trPr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1EF9E4C" w14:textId="77777777" w:rsidR="007D6D6F" w:rsidRDefault="00FB12A8">
            <w:r>
              <w:rPr>
                <w:b/>
                <w:color w:val="FFFFFF"/>
                <w:sz w:val="17"/>
              </w:rPr>
              <w:t>Purpose</w:t>
            </w:r>
          </w:p>
        </w:tc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098B788" w14:textId="77777777" w:rsidR="007D6D6F" w:rsidRDefault="00FB12A8">
            <w:r>
              <w:rPr>
                <w:sz w:val="17"/>
              </w:rPr>
              <w:t>Explain how Trantiate scales across multiple Trants, programs, Workers, business units, and governance domains without dissolving local accountability.</w:t>
            </w:r>
          </w:p>
        </w:tc>
      </w:tr>
      <w:tr w:rsidR="007D6D6F" w14:paraId="26F67B7A" w14:textId="77777777">
        <w:trPr>
          <w:jc w:val="center"/>
        </w:trPr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1DCA3DD" w14:textId="77777777" w:rsidR="007D6D6F" w:rsidRDefault="00FB12A8">
            <w:r>
              <w:rPr>
                <w:b/>
                <w:color w:val="FFFFFF"/>
                <w:sz w:val="17"/>
              </w:rPr>
              <w:t>Authority</w:t>
            </w:r>
          </w:p>
        </w:tc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8873B2F" w14:textId="2A3CF0B9" w:rsidR="007D6D6F" w:rsidRDefault="00FB12A8">
            <w:r>
              <w:rPr>
                <w:sz w:val="17"/>
              </w:rPr>
              <w:t>Companion to the published TRANTIATE</w:t>
            </w:r>
            <w:r>
              <w:rPr>
                <w:sz w:val="17"/>
              </w:rPr>
              <w:t xml:space="preserve"> White Paper Version 2.0</w:t>
            </w:r>
          </w:p>
        </w:tc>
      </w:tr>
    </w:tbl>
    <w:p w14:paraId="58EBC565" w14:textId="77777777" w:rsidR="007D6D6F" w:rsidRDefault="007D6D6F"/>
    <w:p w14:paraId="680097DE" w14:textId="77777777" w:rsidR="007D6D6F" w:rsidRDefault="00FB12A8">
      <w:pPr>
        <w:pStyle w:val="QuoteBlock"/>
        <w:jc w:val="center"/>
      </w:pPr>
      <w:r>
        <w:t>White Paper = methodology authority. Supplementary documents = interpretation and application.</w:t>
      </w:r>
    </w:p>
    <w:p w14:paraId="79CF1A3A" w14:textId="77777777" w:rsidR="007D6D6F" w:rsidRDefault="00FB12A8">
      <w:r>
        <w:br w:type="page"/>
      </w:r>
    </w:p>
    <w:p w14:paraId="192E2992" w14:textId="77777777" w:rsidR="007D6D6F" w:rsidRDefault="00FB12A8">
      <w:pPr>
        <w:pStyle w:val="Heading1"/>
      </w:pPr>
      <w:r>
        <w:lastRenderedPageBreak/>
        <w:t>1. Scaling Principle</w:t>
      </w:r>
    </w:p>
    <w:p w14:paraId="1AFD7B51" w14:textId="77777777" w:rsidR="007D6D6F" w:rsidRDefault="00FB12A8">
      <w:r>
        <w:t>Trantiate scales by reusing stable methodology constructs while federating execution. Enterprise scaling should increase reuse, visibility, and governance consistency without turning every local decision into a centralized bottleneck.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66"/>
      </w:tblGrid>
      <w:tr w:rsidR="007D6D6F" w14:paraId="3DA556E4" w14:textId="77777777">
        <w:trPr>
          <w:tblHeader/>
          <w:jc w:val="center"/>
        </w:trPr>
        <w:tc>
          <w:tcPr>
            <w:tcW w:w="10166" w:type="dxa"/>
            <w:shd w:val="clear" w:color="auto" w:fill="EAF2F8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09708B86" w14:textId="77777777" w:rsidR="007D6D6F" w:rsidRDefault="00FB12A8">
            <w:pPr>
              <w:jc w:val="center"/>
            </w:pPr>
            <w:r>
              <w:rPr>
                <w:rFonts w:ascii="Aptos Display" w:hAnsi="Aptos Display"/>
                <w:b/>
                <w:color w:val="17324D"/>
                <w:sz w:val="22"/>
              </w:rPr>
              <w:t>Enterprise scaling does not dissolve local accountability.</w:t>
            </w:r>
          </w:p>
        </w:tc>
      </w:tr>
    </w:tbl>
    <w:p w14:paraId="0B03400C" w14:textId="77777777" w:rsidR="007D6D6F" w:rsidRDefault="007D6D6F"/>
    <w:p w14:paraId="16BCD052" w14:textId="77777777" w:rsidR="007D6D6F" w:rsidRDefault="00FB12A8">
      <w:pPr>
        <w:pStyle w:val="Heading1"/>
      </w:pPr>
      <w:r>
        <w:t>2. What Should Be Standardized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83"/>
        <w:gridCol w:w="5083"/>
      </w:tblGrid>
      <w:tr w:rsidR="007D6D6F" w14:paraId="38B31764" w14:textId="77777777">
        <w:trPr>
          <w:tblHeader/>
          <w:jc w:val="center"/>
        </w:trPr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490A9F6" w14:textId="77777777" w:rsidR="007D6D6F" w:rsidRDefault="00FB12A8">
            <w:r>
              <w:rPr>
                <w:b/>
                <w:color w:val="FFFFFF"/>
                <w:sz w:val="16"/>
              </w:rPr>
              <w:t>Enterprise Standard</w:t>
            </w:r>
          </w:p>
        </w:tc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CD529D8" w14:textId="77777777" w:rsidR="007D6D6F" w:rsidRDefault="00FB12A8">
            <w:r>
              <w:rPr>
                <w:b/>
                <w:color w:val="FFFFFF"/>
                <w:sz w:val="16"/>
              </w:rPr>
              <w:t>Why It Should Be Shared</w:t>
            </w:r>
          </w:p>
        </w:tc>
      </w:tr>
      <w:tr w:rsidR="007D6D6F" w14:paraId="3822C620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9951B96" w14:textId="77777777" w:rsidR="007D6D6F" w:rsidRDefault="00FB12A8">
            <w:r>
              <w:rPr>
                <w:sz w:val="15"/>
              </w:rPr>
              <w:t>Canonical terminology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8503589" w14:textId="77777777" w:rsidR="007D6D6F" w:rsidRDefault="00FB12A8">
            <w:r>
              <w:rPr>
                <w:sz w:val="15"/>
              </w:rPr>
              <w:t>Prevents drift in Role, Worker, Trant, UWC, TWO, KEA, and authority concepts.</w:t>
            </w:r>
          </w:p>
        </w:tc>
      </w:tr>
      <w:tr w:rsidR="007D6D6F" w14:paraId="5E0B32A6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9178F1F" w14:textId="77777777" w:rsidR="007D6D6F" w:rsidRDefault="00FB12A8">
            <w:r>
              <w:rPr>
                <w:sz w:val="15"/>
              </w:rPr>
              <w:t>UWC policy patterns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7DA5568" w14:textId="77777777" w:rsidR="007D6D6F" w:rsidRDefault="00FB12A8">
            <w:r>
              <w:rPr>
                <w:sz w:val="15"/>
              </w:rPr>
              <w:t>Creates reusable participation controls without cloning one contract for all Workers.</w:t>
            </w:r>
          </w:p>
        </w:tc>
      </w:tr>
      <w:tr w:rsidR="007D6D6F" w14:paraId="4331B5AD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EA2E929" w14:textId="77777777" w:rsidR="007D6D6F" w:rsidRDefault="00FB12A8">
            <w:r>
              <w:rPr>
                <w:sz w:val="15"/>
              </w:rPr>
              <w:t>Worker qualification standards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AD7C872" w14:textId="77777777" w:rsidR="007D6D6F" w:rsidRDefault="00FB12A8">
            <w:r>
              <w:rPr>
                <w:sz w:val="15"/>
              </w:rPr>
              <w:t>Makes Worker eligibility portable across suitable transformations.</w:t>
            </w:r>
          </w:p>
        </w:tc>
      </w:tr>
      <w:tr w:rsidR="007D6D6F" w14:paraId="44309415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51375DA" w14:textId="77777777" w:rsidR="007D6D6F" w:rsidRDefault="00FB12A8">
            <w:r>
              <w:rPr>
                <w:sz w:val="15"/>
              </w:rPr>
              <w:t>Authority/autonomy policy mappings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69D1B64" w14:textId="77777777" w:rsidR="007D6D6F" w:rsidRDefault="00FB12A8">
            <w:r>
              <w:rPr>
                <w:sz w:val="15"/>
              </w:rPr>
              <w:t>Supports consistent interpretation of risk and delegated action.</w:t>
            </w:r>
          </w:p>
        </w:tc>
      </w:tr>
      <w:tr w:rsidR="007D6D6F" w14:paraId="62A39F35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6ADD1C8" w14:textId="77777777" w:rsidR="007D6D6F" w:rsidRDefault="00FB12A8">
            <w:r>
              <w:rPr>
                <w:sz w:val="15"/>
              </w:rPr>
              <w:t>Assurance patterns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555AB91" w14:textId="77777777" w:rsidR="007D6D6F" w:rsidRDefault="00FB12A8">
            <w:r>
              <w:rPr>
                <w:sz w:val="15"/>
              </w:rPr>
              <w:t>Improves independence, evidence integrity, and Checker consistency.</w:t>
            </w:r>
          </w:p>
        </w:tc>
      </w:tr>
      <w:tr w:rsidR="007D6D6F" w14:paraId="4FA1F63A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A1FA3AC" w14:textId="77777777" w:rsidR="007D6D6F" w:rsidRDefault="00FB12A8">
            <w:r>
              <w:rPr>
                <w:sz w:val="15"/>
              </w:rPr>
              <w:t>KEA evidence conventions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AD6DB24" w14:textId="77777777" w:rsidR="007D6D6F" w:rsidRDefault="00FB12A8">
            <w:r>
              <w:rPr>
                <w:sz w:val="15"/>
              </w:rPr>
              <w:t>Improves reconstructability and enterprise learning.</w:t>
            </w:r>
          </w:p>
        </w:tc>
      </w:tr>
      <w:tr w:rsidR="007D6D6F" w14:paraId="668DD02B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36FFC8B" w14:textId="77777777" w:rsidR="007D6D6F" w:rsidRDefault="00FB12A8">
            <w:r>
              <w:rPr>
                <w:sz w:val="15"/>
              </w:rPr>
              <w:t>Navigator definitions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A38226F" w14:textId="77777777" w:rsidR="007D6D6F" w:rsidRDefault="00FB12A8">
            <w:r>
              <w:rPr>
                <w:sz w:val="15"/>
              </w:rPr>
              <w:t>Enables comparable executive/portfolio transformation visibility.</w:t>
            </w:r>
          </w:p>
        </w:tc>
      </w:tr>
      <w:tr w:rsidR="007D6D6F" w14:paraId="1B082A34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977E546" w14:textId="77777777" w:rsidR="007D6D6F" w:rsidRDefault="00FB12A8">
            <w:r>
              <w:rPr>
                <w:sz w:val="15"/>
              </w:rPr>
              <w:t>TCAP expectations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7A39E99" w14:textId="77777777" w:rsidR="007D6D6F" w:rsidRDefault="00FB12A8">
            <w:r>
              <w:rPr>
                <w:sz w:val="15"/>
              </w:rPr>
              <w:t>Supports audit and regulatory consistency.</w:t>
            </w:r>
          </w:p>
        </w:tc>
      </w:tr>
    </w:tbl>
    <w:p w14:paraId="2347BF78" w14:textId="77777777" w:rsidR="007D6D6F" w:rsidRDefault="007D6D6F"/>
    <w:p w14:paraId="12892960" w14:textId="77777777" w:rsidR="007D6D6F" w:rsidRDefault="00FB12A8">
      <w:pPr>
        <w:pStyle w:val="Heading1"/>
      </w:pPr>
      <w:r>
        <w:t>3. What Should Remain Local</w:t>
      </w:r>
    </w:p>
    <w:p w14:paraId="330505FE" w14:textId="77777777" w:rsidR="007D6D6F" w:rsidRDefault="00FB12A8">
      <w:pPr>
        <w:pStyle w:val="ListBullet"/>
        <w:spacing w:after="50"/>
      </w:pPr>
      <w:r>
        <w:t>Specific Target Future and TOC intent.</w:t>
      </w:r>
    </w:p>
    <w:p w14:paraId="62C3AB00" w14:textId="77777777" w:rsidR="007D6D6F" w:rsidRDefault="00FB12A8">
      <w:pPr>
        <w:pStyle w:val="ListBullet"/>
        <w:spacing w:after="50"/>
      </w:pPr>
      <w:r>
        <w:t>Trant boundaries and local sequence.</w:t>
      </w:r>
    </w:p>
    <w:p w14:paraId="07841504" w14:textId="77777777" w:rsidR="007D6D6F" w:rsidRDefault="00FB12A8">
      <w:pPr>
        <w:pStyle w:val="ListBullet"/>
        <w:spacing w:after="50"/>
      </w:pPr>
      <w:r>
        <w:t>Work-specific TWOs.</w:t>
      </w:r>
    </w:p>
    <w:p w14:paraId="7126F126" w14:textId="77777777" w:rsidR="007D6D6F" w:rsidRDefault="00FB12A8">
      <w:pPr>
        <w:pStyle w:val="ListBullet"/>
        <w:spacing w:after="50"/>
      </w:pPr>
      <w:r>
        <w:t>Buyer perspectives and acceptance criteria.</w:t>
      </w:r>
    </w:p>
    <w:p w14:paraId="7DFE2F91" w14:textId="77777777" w:rsidR="007D6D6F" w:rsidRDefault="00FB12A8">
      <w:pPr>
        <w:pStyle w:val="ListBullet"/>
        <w:spacing w:after="50"/>
      </w:pPr>
      <w:r>
        <w:t>Domain-specific risk and regulatory criteria.</w:t>
      </w:r>
    </w:p>
    <w:p w14:paraId="1B73DC1E" w14:textId="77777777" w:rsidR="007D6D6F" w:rsidRDefault="00FB12A8">
      <w:pPr>
        <w:pStyle w:val="ListBullet"/>
        <w:spacing w:after="50"/>
      </w:pPr>
      <w:r>
        <w:t>Worker selection when local capability/context matters.</w:t>
      </w:r>
    </w:p>
    <w:p w14:paraId="46D029EA" w14:textId="77777777" w:rsidR="007D6D6F" w:rsidRDefault="00FB12A8">
      <w:pPr>
        <w:pStyle w:val="ListBullet"/>
        <w:spacing w:after="50"/>
      </w:pPr>
      <w:r>
        <w:t>Local evidence depth proportional to risk.</w:t>
      </w:r>
    </w:p>
    <w:p w14:paraId="3AE4C6A2" w14:textId="77777777" w:rsidR="007D6D6F" w:rsidRDefault="00FB12A8">
      <w:pPr>
        <w:pStyle w:val="Heading1"/>
      </w:pPr>
      <w:r>
        <w:t>4. Enterprise Worker Catalog</w:t>
      </w:r>
    </w:p>
    <w:p w14:paraId="75A4F968" w14:textId="77777777" w:rsidR="007D6D6F" w:rsidRDefault="00FB12A8">
      <w:r>
        <w:t>A mature enterprise may maintain a catalog of eligible Workers, but the catalog must not imply universal authorization. A catalog records identity, capability, qualification, provider/owner, potential Roles, applicable constraints, and availability. UWC + TWO + Governance Policy still determine Effective Permission for specific work.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83"/>
        <w:gridCol w:w="5083"/>
      </w:tblGrid>
      <w:tr w:rsidR="007D6D6F" w14:paraId="55209336" w14:textId="77777777">
        <w:trPr>
          <w:tblHeader/>
          <w:jc w:val="center"/>
        </w:trPr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50112B3" w14:textId="77777777" w:rsidR="007D6D6F" w:rsidRDefault="00FB12A8">
            <w:r>
              <w:rPr>
                <w:b/>
                <w:color w:val="FFFFFF"/>
                <w:sz w:val="16"/>
              </w:rPr>
              <w:t>Catalog Attribute</w:t>
            </w:r>
          </w:p>
        </w:tc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5374A0D" w14:textId="77777777" w:rsidR="007D6D6F" w:rsidRDefault="00FB12A8">
            <w:r>
              <w:rPr>
                <w:b/>
                <w:color w:val="FFFFFF"/>
                <w:sz w:val="16"/>
              </w:rPr>
              <w:t>Illustrative Content</w:t>
            </w:r>
          </w:p>
        </w:tc>
      </w:tr>
      <w:tr w:rsidR="007D6D6F" w14:paraId="7512CA66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DBC6B30" w14:textId="77777777" w:rsidR="007D6D6F" w:rsidRDefault="00FB12A8">
            <w:r>
              <w:rPr>
                <w:sz w:val="15"/>
              </w:rPr>
              <w:t>Identity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068F1D9" w14:textId="77777777" w:rsidR="007D6D6F" w:rsidRDefault="00FB12A8">
            <w:r>
              <w:rPr>
                <w:sz w:val="15"/>
              </w:rPr>
              <w:t>Worker ID, provider/organization, runtime or team identity</w:t>
            </w:r>
          </w:p>
        </w:tc>
      </w:tr>
      <w:tr w:rsidR="007D6D6F" w14:paraId="7E18DBBE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CEBB093" w14:textId="77777777" w:rsidR="007D6D6F" w:rsidRDefault="00FB12A8">
            <w:r>
              <w:rPr>
                <w:sz w:val="15"/>
              </w:rPr>
              <w:lastRenderedPageBreak/>
              <w:t>Capabilities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8E1EB9E" w14:textId="77777777" w:rsidR="007D6D6F" w:rsidRDefault="00FB12A8">
            <w:r>
              <w:rPr>
                <w:sz w:val="15"/>
              </w:rPr>
              <w:t>Qualified capability set</w:t>
            </w:r>
          </w:p>
        </w:tc>
      </w:tr>
      <w:tr w:rsidR="007D6D6F" w14:paraId="131A4626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AB315F1" w14:textId="77777777" w:rsidR="007D6D6F" w:rsidRDefault="00FB12A8">
            <w:r>
              <w:rPr>
                <w:sz w:val="15"/>
              </w:rPr>
              <w:t>Potential Roles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35D7339" w14:textId="77777777" w:rsidR="007D6D6F" w:rsidRDefault="00FB12A8">
            <w:r>
              <w:rPr>
                <w:sz w:val="15"/>
              </w:rPr>
              <w:t>Seer / Maker / Checker / Buyer contexts</w:t>
            </w:r>
          </w:p>
        </w:tc>
      </w:tr>
      <w:tr w:rsidR="007D6D6F" w14:paraId="2EECAD51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201DD9E" w14:textId="77777777" w:rsidR="007D6D6F" w:rsidRDefault="00FB12A8">
            <w:r>
              <w:rPr>
                <w:sz w:val="15"/>
              </w:rPr>
              <w:t>Qualification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C9FF0FB" w14:textId="77777777" w:rsidR="007D6D6F" w:rsidRDefault="00FB12A8">
            <w:r>
              <w:rPr>
                <w:sz w:val="15"/>
              </w:rPr>
              <w:t>Evidence, date, reviewer, limitations</w:t>
            </w:r>
          </w:p>
        </w:tc>
      </w:tr>
      <w:tr w:rsidR="007D6D6F" w14:paraId="2A457FC0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8C1D7FD" w14:textId="77777777" w:rsidR="007D6D6F" w:rsidRDefault="00FB12A8">
            <w:r>
              <w:rPr>
                <w:sz w:val="15"/>
              </w:rPr>
              <w:t>Risk / Independence Notes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F87DD66" w14:textId="77777777" w:rsidR="007D6D6F" w:rsidRDefault="00FB12A8">
            <w:r>
              <w:rPr>
                <w:sz w:val="15"/>
              </w:rPr>
              <w:t>Provider correlation, self-assurance conflicts, sensitive domains</w:t>
            </w:r>
          </w:p>
        </w:tc>
      </w:tr>
      <w:tr w:rsidR="007D6D6F" w14:paraId="799144CD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742BF97" w14:textId="77777777" w:rsidR="007D6D6F" w:rsidRDefault="00FB12A8">
            <w:r>
              <w:rPr>
                <w:sz w:val="15"/>
              </w:rPr>
              <w:t>Availability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6BCF1B3" w14:textId="77777777" w:rsidR="007D6D6F" w:rsidRDefault="00FB12A8">
            <w:r>
              <w:rPr>
                <w:sz w:val="15"/>
              </w:rPr>
              <w:t>Capacity, region, environment, schedule</w:t>
            </w:r>
          </w:p>
        </w:tc>
      </w:tr>
      <w:tr w:rsidR="007D6D6F" w14:paraId="26B88A8B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5097870" w14:textId="77777777" w:rsidR="007D6D6F" w:rsidRDefault="00FB12A8">
            <w:r>
              <w:rPr>
                <w:sz w:val="15"/>
              </w:rPr>
              <w:t>Lifecycle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75E4637" w14:textId="77777777" w:rsidR="007D6D6F" w:rsidRDefault="00FB12A8">
            <w:r>
              <w:rPr>
                <w:sz w:val="15"/>
              </w:rPr>
              <w:t>Active / suspended / requalification required / retired</w:t>
            </w:r>
          </w:p>
        </w:tc>
      </w:tr>
    </w:tbl>
    <w:p w14:paraId="10A7B2D1" w14:textId="77777777" w:rsidR="007D6D6F" w:rsidRDefault="007D6D6F"/>
    <w:p w14:paraId="0C83B7DF" w14:textId="77777777" w:rsidR="007D6D6F" w:rsidRDefault="00FB12A8">
      <w:pPr>
        <w:pStyle w:val="Heading1"/>
      </w:pPr>
      <w:r>
        <w:t>5. Reusable UWC Patterns</w:t>
      </w:r>
    </w:p>
    <w:p w14:paraId="3431A57A" w14:textId="77777777" w:rsidR="007D6D6F" w:rsidRDefault="00FB12A8">
      <w:pPr>
        <w:pStyle w:val="ListBullet"/>
        <w:spacing w:after="50"/>
      </w:pPr>
      <w:r>
        <w:t>Human Maker pattern</w:t>
      </w:r>
    </w:p>
    <w:p w14:paraId="6FA60D63" w14:textId="77777777" w:rsidR="007D6D6F" w:rsidRDefault="00FB12A8">
      <w:pPr>
        <w:pStyle w:val="ListBullet"/>
        <w:spacing w:after="50"/>
      </w:pPr>
      <w:r>
        <w:t>External AI Maker pattern</w:t>
      </w:r>
    </w:p>
    <w:p w14:paraId="505C8786" w14:textId="77777777" w:rsidR="007D6D6F" w:rsidRDefault="00FB12A8">
      <w:pPr>
        <w:pStyle w:val="ListBullet"/>
        <w:spacing w:after="50"/>
      </w:pPr>
      <w:r>
        <w:t>AI Checker pattern</w:t>
      </w:r>
    </w:p>
    <w:p w14:paraId="08C80390" w14:textId="77777777" w:rsidR="007D6D6F" w:rsidRDefault="00FB12A8">
      <w:pPr>
        <w:pStyle w:val="ListBullet"/>
        <w:spacing w:after="50"/>
      </w:pPr>
      <w:r>
        <w:t>Human Checker pattern</w:t>
      </w:r>
    </w:p>
    <w:p w14:paraId="7C3D63A8" w14:textId="77777777" w:rsidR="007D6D6F" w:rsidRDefault="00FB12A8">
      <w:pPr>
        <w:pStyle w:val="ListBullet"/>
        <w:spacing w:after="50"/>
      </w:pPr>
      <w:r>
        <w:t>System Worker pattern</w:t>
      </w:r>
    </w:p>
    <w:p w14:paraId="5A2514A6" w14:textId="77777777" w:rsidR="007D6D6F" w:rsidRDefault="00FB12A8">
      <w:pPr>
        <w:pStyle w:val="ListBullet"/>
        <w:spacing w:after="50"/>
      </w:pPr>
      <w:r>
        <w:t>Synthetic Buyer pattern</w:t>
      </w:r>
    </w:p>
    <w:p w14:paraId="5B95FE71" w14:textId="77777777" w:rsidR="007D6D6F" w:rsidRDefault="00FB12A8">
      <w:pPr>
        <w:pStyle w:val="ListBullet"/>
        <w:spacing w:after="50"/>
      </w:pPr>
      <w:r>
        <w:t>Hybrid Worker pattern</w:t>
      </w:r>
    </w:p>
    <w:p w14:paraId="244F2299" w14:textId="77777777" w:rsidR="007D6D6F" w:rsidRDefault="00FB12A8">
      <w:pPr>
        <w:pStyle w:val="ListBullet"/>
        <w:spacing w:after="50"/>
      </w:pPr>
      <w:r>
        <w:t>High-risk bounded autonomous pattern</w:t>
      </w:r>
    </w:p>
    <w:p w14:paraId="0AEF107E" w14:textId="77777777" w:rsidR="007D6D6F" w:rsidRDefault="00FB12A8">
      <w:r>
        <w:t>Patterns are starting points. They should never replace context-specific authority, access, guardrails, evidence, and escalation.</w:t>
      </w:r>
    </w:p>
    <w:p w14:paraId="10585B23" w14:textId="77777777" w:rsidR="007D6D6F" w:rsidRDefault="00FB12A8">
      <w:pPr>
        <w:pStyle w:val="Heading1"/>
      </w:pPr>
      <w:r>
        <w:t>6. Cross-Transformation Assurance</w:t>
      </w:r>
    </w:p>
    <w:p w14:paraId="28AD0B62" w14:textId="77777777" w:rsidR="007D6D6F" w:rsidRDefault="00FB12A8">
      <w:r>
        <w:t>Enterprise scale introduces correlated-failure and concentration risks. A shared Checker pool can improve consistency, but independence should consider common models, providers, tools, context, data, assumptions, and organizational incentives.</w:t>
      </w:r>
    </w:p>
    <w:p w14:paraId="119A74E3" w14:textId="77777777" w:rsidR="007D6D6F" w:rsidRDefault="00FB12A8">
      <w:pPr>
        <w:pStyle w:val="ListBullet"/>
        <w:spacing w:after="50"/>
      </w:pPr>
      <w:r>
        <w:t>Use multiple assurance mechanisms for material risk where appropriate.</w:t>
      </w:r>
    </w:p>
    <w:p w14:paraId="6D82EA79" w14:textId="77777777" w:rsidR="007D6D6F" w:rsidRDefault="00FB12A8">
      <w:pPr>
        <w:pStyle w:val="ListBullet"/>
        <w:spacing w:after="50"/>
      </w:pPr>
      <w:r>
        <w:t>Track model/provider correlation for AI Checkers.</w:t>
      </w:r>
    </w:p>
    <w:p w14:paraId="526A2522" w14:textId="77777777" w:rsidR="007D6D6F" w:rsidRDefault="00FB12A8">
      <w:pPr>
        <w:pStyle w:val="ListBullet"/>
        <w:spacing w:after="50"/>
      </w:pPr>
      <w:r>
        <w:t>Keep conflicting material assurance visible.</w:t>
      </w:r>
    </w:p>
    <w:p w14:paraId="4D1F68E2" w14:textId="77777777" w:rsidR="007D6D6F" w:rsidRDefault="00FB12A8">
      <w:pPr>
        <w:pStyle w:val="ListBullet"/>
        <w:spacing w:after="50"/>
      </w:pPr>
      <w:r>
        <w:t>Maintain explicit Buyer responsibility even when enterprise QA is centralized.</w:t>
      </w:r>
    </w:p>
    <w:p w14:paraId="490796A5" w14:textId="77777777" w:rsidR="007D6D6F" w:rsidRDefault="00FB12A8">
      <w:pPr>
        <w:pStyle w:val="ListBullet"/>
        <w:spacing w:after="50"/>
      </w:pPr>
      <w:r>
        <w:t>Use TCAP as an assurance projection, not a second evidence repository.</w:t>
      </w:r>
    </w:p>
    <w:p w14:paraId="432B0B09" w14:textId="77777777" w:rsidR="007D6D6F" w:rsidRDefault="00FB12A8">
      <w:pPr>
        <w:pStyle w:val="Heading1"/>
      </w:pPr>
      <w:r>
        <w:t>7. Portfolio Navigation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83"/>
        <w:gridCol w:w="5083"/>
      </w:tblGrid>
      <w:tr w:rsidR="007D6D6F" w14:paraId="2AECA242" w14:textId="77777777">
        <w:trPr>
          <w:tblHeader/>
          <w:jc w:val="center"/>
        </w:trPr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55342F7" w14:textId="77777777" w:rsidR="007D6D6F" w:rsidRDefault="00FB12A8">
            <w:r>
              <w:rPr>
                <w:b/>
                <w:color w:val="FFFFFF"/>
                <w:sz w:val="16"/>
              </w:rPr>
              <w:t>View</w:t>
            </w:r>
          </w:p>
        </w:tc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63CF0BF" w14:textId="77777777" w:rsidR="007D6D6F" w:rsidRDefault="00FB12A8">
            <w:r>
              <w:rPr>
                <w:b/>
                <w:color w:val="FFFFFF"/>
                <w:sz w:val="16"/>
              </w:rPr>
              <w:t>Enterprise Use</w:t>
            </w:r>
          </w:p>
        </w:tc>
      </w:tr>
      <w:tr w:rsidR="007D6D6F" w14:paraId="1116B6E1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31993C5" w14:textId="77777777" w:rsidR="007D6D6F" w:rsidRDefault="00FB12A8">
            <w:r>
              <w:rPr>
                <w:sz w:val="15"/>
              </w:rPr>
              <w:t>Compass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746C596" w14:textId="77777777" w:rsidR="007D6D6F" w:rsidRDefault="00FB12A8">
            <w:r>
              <w:rPr>
                <w:sz w:val="15"/>
              </w:rPr>
              <w:t>Portfolio-level Target Future movement, value, major risk, legacy obligations, readiness, workforce/governance signals</w:t>
            </w:r>
          </w:p>
        </w:tc>
      </w:tr>
      <w:tr w:rsidR="007D6D6F" w14:paraId="1306E08C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F728FBC" w14:textId="77777777" w:rsidR="007D6D6F" w:rsidRDefault="00FB12A8">
            <w:r>
              <w:rPr>
                <w:sz w:val="15"/>
              </w:rPr>
              <w:t>Snaps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900E966" w14:textId="77777777" w:rsidR="007D6D6F" w:rsidRDefault="00FB12A8">
            <w:r>
              <w:rPr>
                <w:sz w:val="15"/>
              </w:rPr>
              <w:t>Comparable Trant-level outcomes and exceptions</w:t>
            </w:r>
          </w:p>
        </w:tc>
      </w:tr>
      <w:tr w:rsidR="007D6D6F" w14:paraId="3C4C1DC9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9E12352" w14:textId="77777777" w:rsidR="007D6D6F" w:rsidRDefault="00FB12A8">
            <w:r>
              <w:rPr>
                <w:sz w:val="15"/>
              </w:rPr>
              <w:t>Watch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D14A6B5" w14:textId="77777777" w:rsidR="007D6D6F" w:rsidRDefault="00FB12A8">
            <w:r>
              <w:rPr>
                <w:sz w:val="15"/>
              </w:rPr>
              <w:t>Local operational execution, not an enterprise surveillance dashboard</w:t>
            </w:r>
          </w:p>
        </w:tc>
      </w:tr>
    </w:tbl>
    <w:p w14:paraId="4F1F6C0E" w14:textId="77777777" w:rsidR="007D6D6F" w:rsidRDefault="007D6D6F"/>
    <w:p w14:paraId="03812C3B" w14:textId="77777777" w:rsidR="007D6D6F" w:rsidRDefault="00FB12A8">
      <w:pPr>
        <w:pStyle w:val="Heading1"/>
      </w:pPr>
      <w:r>
        <w:lastRenderedPageBreak/>
        <w:t>8. Scaling Trantiator</w:t>
      </w:r>
    </w:p>
    <w:p w14:paraId="0D8A906E" w14:textId="77777777" w:rsidR="007D6D6F" w:rsidRDefault="00FB12A8">
      <w:r>
        <w:t>Trantiator can scale lifecycle, Worker, work, policy, evidence, and Navigator orchestration, but the methodology remains valid without a single centralized product instance. Enterprises may federate technical implementation while preserving shared methodology semantics.</w:t>
      </w:r>
    </w:p>
    <w:p w14:paraId="17D379E5" w14:textId="77777777" w:rsidR="007D6D6F" w:rsidRDefault="00FB12A8">
      <w:pPr>
        <w:pStyle w:val="ListBullet"/>
        <w:spacing w:after="50"/>
      </w:pPr>
      <w:r>
        <w:t>Integrate rather than replace enterprise systems by default.</w:t>
      </w:r>
    </w:p>
    <w:p w14:paraId="26F806EE" w14:textId="77777777" w:rsidR="007D6D6F" w:rsidRDefault="00FB12A8">
      <w:pPr>
        <w:pStyle w:val="ListBullet"/>
        <w:spacing w:after="50"/>
      </w:pPr>
      <w:r>
        <w:t>Keep Worker governance vendor-neutral.</w:t>
      </w:r>
    </w:p>
    <w:p w14:paraId="142EAFE8" w14:textId="77777777" w:rsidR="007D6D6F" w:rsidRDefault="00FB12A8">
      <w:pPr>
        <w:pStyle w:val="ListBullet"/>
        <w:spacing w:after="50"/>
      </w:pPr>
      <w:r>
        <w:t>Use existing IAM, policy, workflow, telemetry, data, and service-management systems as implementation control planes where appropriate.</w:t>
      </w:r>
    </w:p>
    <w:p w14:paraId="5E1F09C8" w14:textId="77777777" w:rsidR="007D6D6F" w:rsidRDefault="00FB12A8">
      <w:pPr>
        <w:pStyle w:val="ListBullet"/>
        <w:spacing w:after="50"/>
      </w:pPr>
      <w:r>
        <w:t>Do not allow technical centralization to create organizational authority automatically.</w:t>
      </w:r>
    </w:p>
    <w:p w14:paraId="67C727D4" w14:textId="77777777" w:rsidR="007D6D6F" w:rsidRDefault="00FB12A8">
      <w:pPr>
        <w:pStyle w:val="Heading1"/>
      </w:pPr>
      <w:r>
        <w:t>9. Enterprise Scaling Stages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89"/>
        <w:gridCol w:w="3389"/>
        <w:gridCol w:w="3389"/>
      </w:tblGrid>
      <w:tr w:rsidR="007D6D6F" w14:paraId="30A9FCD3" w14:textId="77777777">
        <w:trPr>
          <w:tblHeader/>
          <w:jc w:val="center"/>
        </w:trPr>
        <w:tc>
          <w:tcPr>
            <w:tcW w:w="3389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E4FD89D" w14:textId="77777777" w:rsidR="007D6D6F" w:rsidRDefault="00FB12A8">
            <w:r>
              <w:rPr>
                <w:b/>
                <w:color w:val="FFFFFF"/>
                <w:sz w:val="16"/>
              </w:rPr>
              <w:t>Stage</w:t>
            </w:r>
          </w:p>
        </w:tc>
        <w:tc>
          <w:tcPr>
            <w:tcW w:w="3389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835EEC1" w14:textId="77777777" w:rsidR="007D6D6F" w:rsidRDefault="00FB12A8">
            <w:r>
              <w:rPr>
                <w:b/>
                <w:color w:val="FFFFFF"/>
                <w:sz w:val="16"/>
              </w:rPr>
              <w:t>Description</w:t>
            </w:r>
          </w:p>
        </w:tc>
        <w:tc>
          <w:tcPr>
            <w:tcW w:w="3389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815354A" w14:textId="77777777" w:rsidR="007D6D6F" w:rsidRDefault="00FB12A8">
            <w:r>
              <w:rPr>
                <w:b/>
                <w:color w:val="FFFFFF"/>
                <w:sz w:val="16"/>
              </w:rPr>
              <w:t>Primary Objective</w:t>
            </w:r>
          </w:p>
        </w:tc>
      </w:tr>
      <w:tr w:rsidR="007D6D6F" w14:paraId="79566338" w14:textId="77777777">
        <w:trPr>
          <w:jc w:val="center"/>
        </w:trPr>
        <w:tc>
          <w:tcPr>
            <w:tcW w:w="3389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454F330" w14:textId="77777777" w:rsidR="007D6D6F" w:rsidRDefault="00FB12A8">
            <w:r>
              <w:rPr>
                <w:sz w:val="15"/>
              </w:rPr>
              <w:t>1 - Pilot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A022552" w14:textId="77777777" w:rsidR="007D6D6F" w:rsidRDefault="00FB12A8">
            <w:r>
              <w:rPr>
                <w:sz w:val="15"/>
              </w:rPr>
              <w:t>One bounded transformation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F5E8D0F" w14:textId="77777777" w:rsidR="007D6D6F" w:rsidRDefault="00FB12A8">
            <w:r>
              <w:rPr>
                <w:sz w:val="15"/>
              </w:rPr>
              <w:t>Prove methodology</w:t>
            </w:r>
          </w:p>
        </w:tc>
      </w:tr>
      <w:tr w:rsidR="007D6D6F" w14:paraId="23277B80" w14:textId="77777777">
        <w:trPr>
          <w:jc w:val="center"/>
        </w:trPr>
        <w:tc>
          <w:tcPr>
            <w:tcW w:w="3389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2295555" w14:textId="77777777" w:rsidR="007D6D6F" w:rsidRDefault="00FB12A8">
            <w:r>
              <w:rPr>
                <w:sz w:val="15"/>
              </w:rPr>
              <w:t>2 - Repeat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6BB4645" w14:textId="77777777" w:rsidR="007D6D6F" w:rsidRDefault="00FB12A8">
            <w:r>
              <w:rPr>
                <w:sz w:val="15"/>
              </w:rPr>
              <w:t>Several Trants / one domain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98374DF" w14:textId="77777777" w:rsidR="007D6D6F" w:rsidRDefault="00FB12A8">
            <w:r>
              <w:rPr>
                <w:sz w:val="15"/>
              </w:rPr>
              <w:t>Build reusable patterns</w:t>
            </w:r>
          </w:p>
        </w:tc>
      </w:tr>
      <w:tr w:rsidR="007D6D6F" w14:paraId="4751608F" w14:textId="77777777">
        <w:trPr>
          <w:jc w:val="center"/>
        </w:trPr>
        <w:tc>
          <w:tcPr>
            <w:tcW w:w="3389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CB9A8A7" w14:textId="77777777" w:rsidR="007D6D6F" w:rsidRDefault="00FB12A8">
            <w:r>
              <w:rPr>
                <w:sz w:val="15"/>
              </w:rPr>
              <w:t>3 - Federate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987EFA0" w14:textId="77777777" w:rsidR="007D6D6F" w:rsidRDefault="00FB12A8">
            <w:r>
              <w:rPr>
                <w:sz w:val="15"/>
              </w:rPr>
              <w:t>Multiple domains or business units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F00A89D" w14:textId="77777777" w:rsidR="007D6D6F" w:rsidRDefault="00FB12A8">
            <w:r>
              <w:rPr>
                <w:sz w:val="15"/>
              </w:rPr>
              <w:t>Share governance and evidence standards</w:t>
            </w:r>
          </w:p>
        </w:tc>
      </w:tr>
      <w:tr w:rsidR="007D6D6F" w14:paraId="473FAB9D" w14:textId="77777777">
        <w:trPr>
          <w:jc w:val="center"/>
        </w:trPr>
        <w:tc>
          <w:tcPr>
            <w:tcW w:w="3389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7F21968" w14:textId="77777777" w:rsidR="007D6D6F" w:rsidRDefault="00FB12A8">
            <w:r>
              <w:rPr>
                <w:sz w:val="15"/>
              </w:rPr>
              <w:t>4 - Portfolio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DC55AE3" w14:textId="77777777" w:rsidR="007D6D6F" w:rsidRDefault="00FB12A8">
            <w:r>
              <w:rPr>
                <w:sz w:val="15"/>
              </w:rPr>
              <w:t>Enterprise Navigator and Worker/UWC reuse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73C8178" w14:textId="77777777" w:rsidR="007D6D6F" w:rsidRDefault="00FB12A8">
            <w:r>
              <w:rPr>
                <w:sz w:val="15"/>
              </w:rPr>
              <w:t>Create cross-transformation visibility</w:t>
            </w:r>
          </w:p>
        </w:tc>
      </w:tr>
      <w:tr w:rsidR="007D6D6F" w14:paraId="7E58D57A" w14:textId="77777777">
        <w:trPr>
          <w:jc w:val="center"/>
        </w:trPr>
        <w:tc>
          <w:tcPr>
            <w:tcW w:w="3389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0A789C3" w14:textId="77777777" w:rsidR="007D6D6F" w:rsidRDefault="00FB12A8">
            <w:r>
              <w:rPr>
                <w:sz w:val="15"/>
              </w:rPr>
              <w:t>5 - Adaptive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65CF4F9" w14:textId="77777777" w:rsidR="007D6D6F" w:rsidRDefault="00FB12A8">
            <w:r>
              <w:rPr>
                <w:sz w:val="15"/>
              </w:rPr>
              <w:t>Trantiator-supported dynamic Worker matching and governed orchestration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72EED78" w14:textId="77777777" w:rsidR="007D6D6F" w:rsidRDefault="00FB12A8">
            <w:r>
              <w:rPr>
                <w:sz w:val="15"/>
              </w:rPr>
              <w:t>Scale adaptive execution without weakening governance</w:t>
            </w:r>
          </w:p>
        </w:tc>
      </w:tr>
    </w:tbl>
    <w:p w14:paraId="3102B510" w14:textId="77777777" w:rsidR="007D6D6F" w:rsidRDefault="007D6D6F"/>
    <w:p w14:paraId="4FE8F782" w14:textId="77777777" w:rsidR="007D6D6F" w:rsidRDefault="00FB12A8">
      <w:pPr>
        <w:pStyle w:val="Heading1"/>
      </w:pPr>
      <w:r>
        <w:t>10. Scaling Risks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83"/>
        <w:gridCol w:w="5083"/>
      </w:tblGrid>
      <w:tr w:rsidR="007D6D6F" w14:paraId="39837E20" w14:textId="77777777">
        <w:trPr>
          <w:tblHeader/>
          <w:jc w:val="center"/>
        </w:trPr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76C281E" w14:textId="77777777" w:rsidR="007D6D6F" w:rsidRDefault="00FB12A8">
            <w:r>
              <w:rPr>
                <w:b/>
                <w:color w:val="FFFFFF"/>
                <w:sz w:val="16"/>
              </w:rPr>
              <w:t>Risk</w:t>
            </w:r>
          </w:p>
        </w:tc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B4BE455" w14:textId="77777777" w:rsidR="007D6D6F" w:rsidRDefault="00FB12A8">
            <w:r>
              <w:rPr>
                <w:b/>
                <w:color w:val="FFFFFF"/>
                <w:sz w:val="16"/>
              </w:rPr>
              <w:t>Mitigation</w:t>
            </w:r>
          </w:p>
        </w:tc>
      </w:tr>
      <w:tr w:rsidR="007D6D6F" w14:paraId="0CFB35B7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48A6506" w14:textId="77777777" w:rsidR="007D6D6F" w:rsidRDefault="00FB12A8">
            <w:r>
              <w:rPr>
                <w:sz w:val="15"/>
              </w:rPr>
              <w:t>Central bureaucracy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C525106" w14:textId="77777777" w:rsidR="007D6D6F" w:rsidRDefault="00FB12A8">
            <w:r>
              <w:rPr>
                <w:sz w:val="15"/>
              </w:rPr>
              <w:t>Standardize semantics, not every local decision.</w:t>
            </w:r>
          </w:p>
        </w:tc>
      </w:tr>
      <w:tr w:rsidR="007D6D6F" w14:paraId="27F45C38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C485B7D" w14:textId="77777777" w:rsidR="007D6D6F" w:rsidRDefault="00FB12A8">
            <w:r>
              <w:rPr>
                <w:sz w:val="15"/>
              </w:rPr>
              <w:t>UWC explosion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EEA921E" w14:textId="77777777" w:rsidR="007D6D6F" w:rsidRDefault="00FB12A8">
            <w:r>
              <w:rPr>
                <w:sz w:val="15"/>
              </w:rPr>
              <w:t>Use reusable patterns plus context-specific overlays.</w:t>
            </w:r>
          </w:p>
        </w:tc>
      </w:tr>
      <w:tr w:rsidR="007D6D6F" w14:paraId="29EE8FA7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482A995" w14:textId="77777777" w:rsidR="007D6D6F" w:rsidRDefault="00FB12A8">
            <w:r>
              <w:rPr>
                <w:sz w:val="15"/>
              </w:rPr>
              <w:t>Worker concentration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3B09FC9" w14:textId="77777777" w:rsidR="007D6D6F" w:rsidRDefault="00FB12A8">
            <w:r>
              <w:rPr>
                <w:sz w:val="15"/>
              </w:rPr>
              <w:t>Track provider/skill dependencies and substitutability.</w:t>
            </w:r>
          </w:p>
        </w:tc>
      </w:tr>
      <w:tr w:rsidR="007D6D6F" w14:paraId="370DEF44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009C4E5" w14:textId="77777777" w:rsidR="007D6D6F" w:rsidRDefault="00FB12A8">
            <w:r>
              <w:rPr>
                <w:sz w:val="15"/>
              </w:rPr>
              <w:t>False independence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1D36D1E" w14:textId="77777777" w:rsidR="007D6D6F" w:rsidRDefault="00FB12A8">
            <w:r>
              <w:rPr>
                <w:sz w:val="15"/>
              </w:rPr>
              <w:t>Assess correlated failure, not Worker count.</w:t>
            </w:r>
          </w:p>
        </w:tc>
      </w:tr>
      <w:tr w:rsidR="007D6D6F" w14:paraId="7C3F4599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CA0D59A" w14:textId="77777777" w:rsidR="007D6D6F" w:rsidRDefault="00FB12A8">
            <w:r>
              <w:rPr>
                <w:sz w:val="15"/>
              </w:rPr>
              <w:t>Dashboard theater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12F3CE1" w14:textId="77777777" w:rsidR="007D6D6F" w:rsidRDefault="00FB12A8">
            <w:r>
              <w:rPr>
                <w:sz w:val="15"/>
              </w:rPr>
              <w:t>Keep Navigator state tied to KEA evidence.</w:t>
            </w:r>
          </w:p>
        </w:tc>
      </w:tr>
      <w:tr w:rsidR="007D6D6F" w14:paraId="36232E59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25DF1D3" w14:textId="77777777" w:rsidR="007D6D6F" w:rsidRDefault="00FB12A8">
            <w:r>
              <w:rPr>
                <w:sz w:val="15"/>
              </w:rPr>
              <w:t>Agent sprawl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912ED38" w14:textId="77777777" w:rsidR="007D6D6F" w:rsidRDefault="00FB12A8">
            <w:r>
              <w:rPr>
                <w:sz w:val="15"/>
              </w:rPr>
              <w:t>Require governed Worker registration/qualification for substantive Role work.</w:t>
            </w:r>
          </w:p>
        </w:tc>
      </w:tr>
      <w:tr w:rsidR="007D6D6F" w14:paraId="0B40E904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EB5DE3A" w14:textId="77777777" w:rsidR="007D6D6F" w:rsidRDefault="00FB12A8">
            <w:r>
              <w:rPr>
                <w:sz w:val="15"/>
              </w:rPr>
              <w:t>Autonomy inflation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21B455E" w14:textId="77777777" w:rsidR="007D6D6F" w:rsidRDefault="00FB12A8">
            <w:r>
              <w:rPr>
                <w:sz w:val="15"/>
              </w:rPr>
              <w:t>Treat A4 as mandate-specific, not maturity theater.</w:t>
            </w:r>
          </w:p>
        </w:tc>
      </w:tr>
    </w:tbl>
    <w:p w14:paraId="5437E4F7" w14:textId="77777777" w:rsidR="007D6D6F" w:rsidRDefault="007D6D6F"/>
    <w:sectPr w:rsidR="007D6D6F" w:rsidSect="00034616">
      <w:headerReference w:type="default" r:id="rId8"/>
      <w:footerReference w:type="default" r:id="rId9"/>
      <w:pgSz w:w="12240" w:h="15840"/>
      <w:pgMar w:top="936" w:right="1037" w:bottom="936" w:left="103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89B5C" w14:textId="77777777" w:rsidR="00FB12A8" w:rsidRDefault="00FB12A8">
      <w:pPr>
        <w:spacing w:after="0" w:line="240" w:lineRule="auto"/>
      </w:pPr>
      <w:r>
        <w:separator/>
      </w:r>
    </w:p>
  </w:endnote>
  <w:endnote w:type="continuationSeparator" w:id="0">
    <w:p w14:paraId="244DD588" w14:textId="77777777" w:rsidR="00FB12A8" w:rsidRDefault="00FB1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8A1FB" w14:textId="67B62829" w:rsidR="007D6D6F" w:rsidRDefault="00FB12A8">
    <w:pPr>
      <w:pStyle w:val="Footer"/>
      <w:jc w:val="center"/>
    </w:pPr>
    <w:r>
      <w:rPr>
        <w:color w:val="4E79A7"/>
        <w:sz w:val="14"/>
      </w:rPr>
      <w:t>TRANTIATE</w:t>
    </w:r>
    <w:r>
      <w:rPr>
        <w:color w:val="4E79A7"/>
        <w:sz w:val="14"/>
      </w:rPr>
      <w:t xml:space="preserve"> Supplement | Version 1.0 | 2026 | </w:t>
    </w:r>
    <w:r>
      <w:fldChar w:fldCharType="begin"/>
    </w:r>
    <w:r>
      <w:instrText>PAGE</w:instrText>
    </w:r>
    <w:r>
      <w:fldChar w:fldCharType="separate"/>
    </w:r>
    <w:r w:rsidR="00EA357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01127" w14:textId="77777777" w:rsidR="00FB12A8" w:rsidRDefault="00FB12A8">
      <w:pPr>
        <w:spacing w:after="0" w:line="240" w:lineRule="auto"/>
      </w:pPr>
      <w:r>
        <w:separator/>
      </w:r>
    </w:p>
  </w:footnote>
  <w:footnote w:type="continuationSeparator" w:id="0">
    <w:p w14:paraId="41A97FC6" w14:textId="77777777" w:rsidR="00FB12A8" w:rsidRDefault="00FB1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D9B3B" w14:textId="3456242A" w:rsidR="007D6D6F" w:rsidRDefault="00FB12A8">
    <w:pPr>
      <w:pStyle w:val="Header"/>
      <w:jc w:val="right"/>
    </w:pPr>
    <w:r>
      <w:rPr>
        <w:color w:val="4E79A7"/>
        <w:sz w:val="14"/>
      </w:rPr>
      <w:t>TRANTIATE</w:t>
    </w:r>
    <w:r>
      <w:rPr>
        <w:color w:val="4E79A7"/>
        <w:sz w:val="14"/>
      </w:rPr>
      <w:t xml:space="preserve"> V2.0 | TRANTIATE</w:t>
    </w:r>
    <w:r>
      <w:rPr>
        <w:color w:val="4E79A7"/>
        <w:sz w:val="14"/>
      </w:rPr>
      <w:t xml:space="preserve"> V2.0 Enterprise Scaling Guide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28828995">
    <w:abstractNumId w:val="8"/>
  </w:num>
  <w:num w:numId="2" w16cid:durableId="2146118894">
    <w:abstractNumId w:val="6"/>
  </w:num>
  <w:num w:numId="3" w16cid:durableId="1828788066">
    <w:abstractNumId w:val="5"/>
  </w:num>
  <w:num w:numId="4" w16cid:durableId="937904877">
    <w:abstractNumId w:val="4"/>
  </w:num>
  <w:num w:numId="5" w16cid:durableId="413405987">
    <w:abstractNumId w:val="7"/>
  </w:num>
  <w:num w:numId="6" w16cid:durableId="417865872">
    <w:abstractNumId w:val="3"/>
  </w:num>
  <w:num w:numId="7" w16cid:durableId="1725520174">
    <w:abstractNumId w:val="2"/>
  </w:num>
  <w:num w:numId="8" w16cid:durableId="660429751">
    <w:abstractNumId w:val="1"/>
  </w:num>
  <w:num w:numId="9" w16cid:durableId="2057046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D6D6F"/>
    <w:rsid w:val="00AA1D8D"/>
    <w:rsid w:val="00B47730"/>
    <w:rsid w:val="00CB0664"/>
    <w:rsid w:val="00EA357C"/>
    <w:rsid w:val="00F00114"/>
    <w:rsid w:val="00FB12A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8E273074-26E7-449B-B184-C29653C49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10"/>
    </w:pPr>
    <w:rPr>
      <w:rFonts w:ascii="Aptos" w:hAnsi="Aptos"/>
      <w:color w:val="2D343B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20" w:after="100"/>
      <w:outlineLvl w:val="0"/>
    </w:pPr>
    <w:rPr>
      <w:rFonts w:asciiTheme="majorHAnsi" w:eastAsiaTheme="majorEastAsia" w:hAnsiTheme="majorHAnsi" w:cstheme="majorBidi"/>
      <w:b/>
      <w:bCs/>
      <w:color w:val="17324D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00"/>
      <w:outlineLvl w:val="1"/>
    </w:pPr>
    <w:rPr>
      <w:rFonts w:asciiTheme="majorHAnsi" w:eastAsiaTheme="majorEastAsia" w:hAnsiTheme="majorHAnsi" w:cstheme="majorBidi"/>
      <w:b/>
      <w:bCs/>
      <w:color w:val="4E79A7"/>
      <w:sz w:val="2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20" w:after="100"/>
      <w:outlineLvl w:val="2"/>
    </w:pPr>
    <w:rPr>
      <w:rFonts w:asciiTheme="majorHAnsi" w:eastAsiaTheme="majorEastAsia" w:hAnsiTheme="majorHAnsi" w:cstheme="majorBidi"/>
      <w:b/>
      <w:bCs/>
      <w:color w:val="17324D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24D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QuoteBlock">
    <w:name w:val="QuoteBlock"/>
    <w:pPr>
      <w:ind w:left="403" w:right="259"/>
    </w:pPr>
    <w:rPr>
      <w:rFonts w:ascii="Aptos Display" w:hAnsi="Aptos Display"/>
      <w:i/>
      <w:color w:val="17324D"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manish gupta</cp:lastModifiedBy>
  <cp:revision>2</cp:revision>
  <dcterms:created xsi:type="dcterms:W3CDTF">2013-12-23T23:15:00Z</dcterms:created>
  <dcterms:modified xsi:type="dcterms:W3CDTF">2026-08-29T02:44:00Z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9a29bd3c-9803-4041-8e76-7f8a95c2d0b1</vt:lpwstr>
  </property>
</Properties>
</file>