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24A47" w14:textId="7848BDAE" w:rsidR="00C95BEC" w:rsidRDefault="00E87CBF">
      <w:pPr>
        <w:pStyle w:val="Title"/>
        <w:jc w:val="center"/>
      </w:pPr>
      <w:r>
        <w:t>TRANTIATE</w:t>
      </w:r>
      <w:r>
        <w:t xml:space="preserve"> V2.0 Practitioner Handbook</w:t>
      </w:r>
    </w:p>
    <w:p w14:paraId="3598572B" w14:textId="77777777" w:rsidR="00C95BEC" w:rsidRDefault="00E87CBF">
      <w:pPr>
        <w:jc w:val="center"/>
      </w:pPr>
      <w:r>
        <w:rPr>
          <w:rFonts w:ascii="Aptos Display" w:hAnsi="Aptos Display"/>
          <w:color w:val="4E79A7"/>
          <w:sz w:val="26"/>
        </w:rPr>
        <w:t>How to plan, run, govern, assure, and close Trants</w:t>
      </w:r>
    </w:p>
    <w:p w14:paraId="3054CA23" w14:textId="77777777" w:rsidR="00C95BEC" w:rsidRDefault="00C95BEC"/>
    <w:tbl>
      <w:tblPr>
        <w:tblW w:w="0" w:type="auto"/>
        <w:jc w:val="center"/>
        <w:tblLook w:val="04A0" w:firstRow="1" w:lastRow="0" w:firstColumn="1" w:lastColumn="0" w:noHBand="0" w:noVBand="1"/>
      </w:tblPr>
      <w:tblGrid>
        <w:gridCol w:w="5083"/>
        <w:gridCol w:w="5083"/>
      </w:tblGrid>
      <w:tr w:rsidR="00C95BEC" w14:paraId="38757F43" w14:textId="77777777">
        <w:trPr>
          <w:tblHeader/>
          <w:jc w:val="center"/>
        </w:trPr>
        <w:tc>
          <w:tcPr>
            <w:tcW w:w="5083" w:type="dxa"/>
            <w:shd w:val="clear" w:color="auto" w:fill="17324D"/>
            <w:tcMar>
              <w:top w:w="70" w:type="dxa"/>
              <w:left w:w="70" w:type="dxa"/>
              <w:bottom w:w="70" w:type="dxa"/>
              <w:right w:w="70" w:type="dxa"/>
            </w:tcMar>
          </w:tcPr>
          <w:p w14:paraId="3FDB7F6D" w14:textId="77777777" w:rsidR="00C95BEC" w:rsidRDefault="00E87CBF">
            <w:r>
              <w:rPr>
                <w:b/>
                <w:color w:val="FFFFFF"/>
                <w:sz w:val="17"/>
              </w:rPr>
              <w:t>Primary Audience</w:t>
            </w:r>
          </w:p>
        </w:tc>
        <w:tc>
          <w:tcPr>
            <w:tcW w:w="5083" w:type="dxa"/>
            <w:shd w:val="clear" w:color="auto" w:fill="F3F5F7"/>
            <w:tcMar>
              <w:top w:w="70" w:type="dxa"/>
              <w:left w:w="70" w:type="dxa"/>
              <w:bottom w:w="70" w:type="dxa"/>
              <w:right w:w="70" w:type="dxa"/>
            </w:tcMar>
          </w:tcPr>
          <w:p w14:paraId="62B442DA" w14:textId="77777777" w:rsidR="00C95BEC" w:rsidRDefault="00E87CBF">
            <w:r>
              <w:rPr>
                <w:sz w:val="17"/>
              </w:rPr>
              <w:t>Transformation leads, enterprise architects, delivery leaders, PMs, product leaders, risk/governance practitioners</w:t>
            </w:r>
          </w:p>
        </w:tc>
      </w:tr>
      <w:tr w:rsidR="00C95BEC" w14:paraId="6607AF62" w14:textId="77777777">
        <w:trPr>
          <w:jc w:val="center"/>
        </w:trPr>
        <w:tc>
          <w:tcPr>
            <w:tcW w:w="5083" w:type="dxa"/>
            <w:shd w:val="clear" w:color="auto" w:fill="17324D"/>
            <w:tcMar>
              <w:top w:w="70" w:type="dxa"/>
              <w:left w:w="70" w:type="dxa"/>
              <w:bottom w:w="70" w:type="dxa"/>
              <w:right w:w="70" w:type="dxa"/>
            </w:tcMar>
          </w:tcPr>
          <w:p w14:paraId="0E9FED8F" w14:textId="77777777" w:rsidR="00C95BEC" w:rsidRDefault="00E87CBF">
            <w:r>
              <w:rPr>
                <w:b/>
                <w:color w:val="FFFFFF"/>
                <w:sz w:val="17"/>
              </w:rPr>
              <w:t>Purpose</w:t>
            </w:r>
          </w:p>
        </w:tc>
        <w:tc>
          <w:tcPr>
            <w:tcW w:w="5083" w:type="dxa"/>
            <w:shd w:val="clear" w:color="auto" w:fill="F3F5F7"/>
            <w:tcMar>
              <w:top w:w="70" w:type="dxa"/>
              <w:left w:w="70" w:type="dxa"/>
              <w:bottom w:w="70" w:type="dxa"/>
              <w:right w:w="70" w:type="dxa"/>
            </w:tcMar>
          </w:tcPr>
          <w:p w14:paraId="28692D9D" w14:textId="77777777" w:rsidR="00C95BEC" w:rsidRDefault="00E87CBF">
            <w:r>
              <w:rPr>
                <w:sz w:val="17"/>
              </w:rPr>
              <w:t>Translate the published methodology into repeatable practitioner action.</w:t>
            </w:r>
          </w:p>
        </w:tc>
      </w:tr>
      <w:tr w:rsidR="00C95BEC" w14:paraId="436F0097" w14:textId="77777777">
        <w:trPr>
          <w:jc w:val="center"/>
        </w:trPr>
        <w:tc>
          <w:tcPr>
            <w:tcW w:w="5083" w:type="dxa"/>
            <w:shd w:val="clear" w:color="auto" w:fill="17324D"/>
            <w:tcMar>
              <w:top w:w="70" w:type="dxa"/>
              <w:left w:w="70" w:type="dxa"/>
              <w:bottom w:w="70" w:type="dxa"/>
              <w:right w:w="70" w:type="dxa"/>
            </w:tcMar>
          </w:tcPr>
          <w:p w14:paraId="4FE02A27" w14:textId="77777777" w:rsidR="00C95BEC" w:rsidRDefault="00E87CBF">
            <w:r>
              <w:rPr>
                <w:b/>
                <w:color w:val="FFFFFF"/>
                <w:sz w:val="17"/>
              </w:rPr>
              <w:t>Authority</w:t>
            </w:r>
          </w:p>
        </w:tc>
        <w:tc>
          <w:tcPr>
            <w:tcW w:w="5083" w:type="dxa"/>
            <w:shd w:val="clear" w:color="auto" w:fill="F3F5F7"/>
            <w:tcMar>
              <w:top w:w="70" w:type="dxa"/>
              <w:left w:w="70" w:type="dxa"/>
              <w:bottom w:w="70" w:type="dxa"/>
              <w:right w:w="70" w:type="dxa"/>
            </w:tcMar>
          </w:tcPr>
          <w:p w14:paraId="65BDF50E" w14:textId="19A1B42C" w:rsidR="00C95BEC" w:rsidRDefault="00E87CBF">
            <w:r>
              <w:rPr>
                <w:sz w:val="17"/>
              </w:rPr>
              <w:t>Companion to the published TRANTIATE</w:t>
            </w:r>
            <w:r>
              <w:rPr>
                <w:sz w:val="17"/>
              </w:rPr>
              <w:t xml:space="preserve"> White Paper Version 2.0</w:t>
            </w:r>
          </w:p>
        </w:tc>
      </w:tr>
    </w:tbl>
    <w:p w14:paraId="147666EB" w14:textId="77777777" w:rsidR="00C95BEC" w:rsidRDefault="00C95BEC"/>
    <w:p w14:paraId="1D56F27B" w14:textId="77777777" w:rsidR="00C95BEC" w:rsidRDefault="00E87CBF">
      <w:pPr>
        <w:pStyle w:val="QuoteBlock"/>
        <w:jc w:val="center"/>
      </w:pPr>
      <w:r>
        <w:t>White Paper = methodology authority. Supplementary documents = interpretation and application.</w:t>
      </w:r>
    </w:p>
    <w:p w14:paraId="2BA11980" w14:textId="77777777" w:rsidR="00C95BEC" w:rsidRDefault="00E87CBF">
      <w:r>
        <w:br w:type="page"/>
      </w:r>
    </w:p>
    <w:p w14:paraId="5E5BFB8B" w14:textId="77777777" w:rsidR="00C95BEC" w:rsidRDefault="00E87CBF">
      <w:pPr>
        <w:pStyle w:val="Heading1"/>
      </w:pPr>
      <w:r>
        <w:lastRenderedPageBreak/>
        <w:t>1. Practitioner Operating Principle</w:t>
      </w:r>
    </w:p>
    <w:tbl>
      <w:tblPr>
        <w:tblW w:w="0" w:type="auto"/>
        <w:jc w:val="center"/>
        <w:tblLook w:val="04A0" w:firstRow="1" w:lastRow="0" w:firstColumn="1" w:lastColumn="0" w:noHBand="0" w:noVBand="1"/>
      </w:tblPr>
      <w:tblGrid>
        <w:gridCol w:w="10166"/>
      </w:tblGrid>
      <w:tr w:rsidR="00C95BEC" w14:paraId="3EAD447E" w14:textId="77777777">
        <w:trPr>
          <w:tblHeader/>
          <w:jc w:val="center"/>
        </w:trPr>
        <w:tc>
          <w:tcPr>
            <w:tcW w:w="10166" w:type="dxa"/>
            <w:shd w:val="clear" w:color="auto" w:fill="EAF2F8"/>
            <w:tcMar>
              <w:top w:w="110" w:type="dxa"/>
              <w:left w:w="140" w:type="dxa"/>
              <w:bottom w:w="110" w:type="dxa"/>
              <w:right w:w="140" w:type="dxa"/>
            </w:tcMar>
          </w:tcPr>
          <w:p w14:paraId="09CDFE9B" w14:textId="77777777" w:rsidR="00C95BEC" w:rsidRDefault="00E87CBF">
            <w:pPr>
              <w:jc w:val="center"/>
            </w:pPr>
            <w:r>
              <w:rPr>
                <w:rFonts w:ascii="Aptos Display" w:hAnsi="Aptos Display"/>
                <w:b/>
                <w:color w:val="17324D"/>
                <w:sz w:val="22"/>
              </w:rPr>
              <w:t>Introduce once. Define once. Apply many times.</w:t>
            </w:r>
          </w:p>
        </w:tc>
      </w:tr>
    </w:tbl>
    <w:p w14:paraId="18297ADB" w14:textId="77777777" w:rsidR="00C95BEC" w:rsidRDefault="00C95BEC"/>
    <w:p w14:paraId="0A5AD850" w14:textId="77777777" w:rsidR="00C95BEC" w:rsidRDefault="00E87CBF">
      <w:r>
        <w:t>The handbook does not redefine Trantiate. It shows how to use its published constructs consistently. Start with the Target Future, run the complete TRANT lifecycle inside each Trant, assign the four Roles, govern Workers through UWC, govern work through TWO, capture evidence through KEA, and close through TOR.</w:t>
      </w:r>
    </w:p>
    <w:p w14:paraId="5A2923BE" w14:textId="77777777" w:rsidR="00C95BEC" w:rsidRDefault="00E87CBF">
      <w:pPr>
        <w:pStyle w:val="Heading1"/>
      </w:pPr>
      <w:r>
        <w:t>2. Before the First Trant</w:t>
      </w:r>
    </w:p>
    <w:tbl>
      <w:tblPr>
        <w:tblW w:w="0" w:type="auto"/>
        <w:jc w:val="center"/>
        <w:tblLook w:val="04A0" w:firstRow="1" w:lastRow="0" w:firstColumn="1" w:lastColumn="0" w:noHBand="0" w:noVBand="1"/>
      </w:tblPr>
      <w:tblGrid>
        <w:gridCol w:w="5083"/>
        <w:gridCol w:w="5083"/>
      </w:tblGrid>
      <w:tr w:rsidR="00C95BEC" w14:paraId="4F50C965" w14:textId="77777777">
        <w:trPr>
          <w:tblHeader/>
          <w:jc w:val="center"/>
        </w:trPr>
        <w:tc>
          <w:tcPr>
            <w:tcW w:w="5083" w:type="dxa"/>
            <w:shd w:val="clear" w:color="auto" w:fill="17324D"/>
            <w:tcMar>
              <w:top w:w="70" w:type="dxa"/>
              <w:left w:w="70" w:type="dxa"/>
              <w:bottom w:w="70" w:type="dxa"/>
              <w:right w:w="70" w:type="dxa"/>
            </w:tcMar>
          </w:tcPr>
          <w:p w14:paraId="774D1014" w14:textId="77777777" w:rsidR="00C95BEC" w:rsidRDefault="00E87CBF">
            <w:r>
              <w:rPr>
                <w:b/>
                <w:color w:val="FFFFFF"/>
                <w:sz w:val="16"/>
              </w:rPr>
              <w:t>Question</w:t>
            </w:r>
          </w:p>
        </w:tc>
        <w:tc>
          <w:tcPr>
            <w:tcW w:w="5083" w:type="dxa"/>
            <w:shd w:val="clear" w:color="auto" w:fill="17324D"/>
            <w:tcMar>
              <w:top w:w="70" w:type="dxa"/>
              <w:left w:w="70" w:type="dxa"/>
              <w:bottom w:w="70" w:type="dxa"/>
              <w:right w:w="70" w:type="dxa"/>
            </w:tcMar>
          </w:tcPr>
          <w:p w14:paraId="626ECA39" w14:textId="77777777" w:rsidR="00C95BEC" w:rsidRDefault="00E87CBF">
            <w:r>
              <w:rPr>
                <w:b/>
                <w:color w:val="FFFFFF"/>
                <w:sz w:val="16"/>
              </w:rPr>
              <w:t>Minimum Practitioner Output</w:t>
            </w:r>
          </w:p>
        </w:tc>
      </w:tr>
      <w:tr w:rsidR="00C95BEC" w14:paraId="3096640A" w14:textId="77777777">
        <w:trPr>
          <w:jc w:val="center"/>
        </w:trPr>
        <w:tc>
          <w:tcPr>
            <w:tcW w:w="5083" w:type="dxa"/>
            <w:shd w:val="clear" w:color="auto" w:fill="F3F5F7"/>
            <w:tcMar>
              <w:top w:w="70" w:type="dxa"/>
              <w:left w:w="70" w:type="dxa"/>
              <w:bottom w:w="70" w:type="dxa"/>
              <w:right w:w="70" w:type="dxa"/>
            </w:tcMar>
          </w:tcPr>
          <w:p w14:paraId="694AF59D" w14:textId="77777777" w:rsidR="00C95BEC" w:rsidRDefault="00E87CBF">
            <w:r>
              <w:rPr>
                <w:sz w:val="15"/>
              </w:rPr>
              <w:t>What future are we moving toward?</w:t>
            </w:r>
          </w:p>
        </w:tc>
        <w:tc>
          <w:tcPr>
            <w:tcW w:w="5083" w:type="dxa"/>
            <w:tcMar>
              <w:top w:w="70" w:type="dxa"/>
              <w:left w:w="70" w:type="dxa"/>
              <w:bottom w:w="70" w:type="dxa"/>
              <w:right w:w="70" w:type="dxa"/>
            </w:tcMar>
          </w:tcPr>
          <w:p w14:paraId="7BBD84A3" w14:textId="77777777" w:rsidR="00C95BEC" w:rsidRDefault="00E87CBF">
            <w:r>
              <w:rPr>
                <w:sz w:val="15"/>
              </w:rPr>
              <w:t>Target Future representation</w:t>
            </w:r>
          </w:p>
        </w:tc>
      </w:tr>
      <w:tr w:rsidR="00C95BEC" w14:paraId="64658591" w14:textId="77777777">
        <w:trPr>
          <w:jc w:val="center"/>
        </w:trPr>
        <w:tc>
          <w:tcPr>
            <w:tcW w:w="5083" w:type="dxa"/>
            <w:shd w:val="clear" w:color="auto" w:fill="F3F5F7"/>
            <w:tcMar>
              <w:top w:w="70" w:type="dxa"/>
              <w:left w:w="70" w:type="dxa"/>
              <w:bottom w:w="70" w:type="dxa"/>
              <w:right w:w="70" w:type="dxa"/>
            </w:tcMar>
          </w:tcPr>
          <w:p w14:paraId="1488B32B" w14:textId="77777777" w:rsidR="00C95BEC" w:rsidRDefault="00E87CBF">
            <w:r>
              <w:rPr>
                <w:sz w:val="15"/>
              </w:rPr>
              <w:t>What current value exists?</w:t>
            </w:r>
          </w:p>
        </w:tc>
        <w:tc>
          <w:tcPr>
            <w:tcW w:w="5083" w:type="dxa"/>
            <w:tcMar>
              <w:top w:w="70" w:type="dxa"/>
              <w:left w:w="70" w:type="dxa"/>
              <w:bottom w:w="70" w:type="dxa"/>
              <w:right w:w="70" w:type="dxa"/>
            </w:tcMar>
          </w:tcPr>
          <w:p w14:paraId="5B4E42CC" w14:textId="77777777" w:rsidR="00C95BEC" w:rsidRDefault="00E87CBF">
            <w:r>
              <w:rPr>
                <w:sz w:val="15"/>
              </w:rPr>
              <w:t>VEM findings</w:t>
            </w:r>
          </w:p>
        </w:tc>
      </w:tr>
      <w:tr w:rsidR="00C95BEC" w14:paraId="5EE346E9" w14:textId="77777777">
        <w:trPr>
          <w:jc w:val="center"/>
        </w:trPr>
        <w:tc>
          <w:tcPr>
            <w:tcW w:w="5083" w:type="dxa"/>
            <w:shd w:val="clear" w:color="auto" w:fill="F3F5F7"/>
            <w:tcMar>
              <w:top w:w="70" w:type="dxa"/>
              <w:left w:w="70" w:type="dxa"/>
              <w:bottom w:w="70" w:type="dxa"/>
              <w:right w:w="70" w:type="dxa"/>
            </w:tcMar>
          </w:tcPr>
          <w:p w14:paraId="25C1F660" w14:textId="77777777" w:rsidR="00C95BEC" w:rsidRDefault="00E87CBF">
            <w:r>
              <w:rPr>
                <w:sz w:val="15"/>
              </w:rPr>
              <w:t>What gaps separate current from future?</w:t>
            </w:r>
          </w:p>
        </w:tc>
        <w:tc>
          <w:tcPr>
            <w:tcW w:w="5083" w:type="dxa"/>
            <w:tcMar>
              <w:top w:w="70" w:type="dxa"/>
              <w:left w:w="70" w:type="dxa"/>
              <w:bottom w:w="70" w:type="dxa"/>
              <w:right w:w="70" w:type="dxa"/>
            </w:tcMar>
          </w:tcPr>
          <w:p w14:paraId="1D158D87" w14:textId="77777777" w:rsidR="00C95BEC" w:rsidRDefault="00E87CBF">
            <w:r>
              <w:rPr>
                <w:sz w:val="15"/>
              </w:rPr>
              <w:t>Gap map</w:t>
            </w:r>
          </w:p>
        </w:tc>
      </w:tr>
      <w:tr w:rsidR="00C95BEC" w14:paraId="5C032E28" w14:textId="77777777">
        <w:trPr>
          <w:jc w:val="center"/>
        </w:trPr>
        <w:tc>
          <w:tcPr>
            <w:tcW w:w="5083" w:type="dxa"/>
            <w:shd w:val="clear" w:color="auto" w:fill="F3F5F7"/>
            <w:tcMar>
              <w:top w:w="70" w:type="dxa"/>
              <w:left w:w="70" w:type="dxa"/>
              <w:bottom w:w="70" w:type="dxa"/>
              <w:right w:w="70" w:type="dxa"/>
            </w:tcMar>
          </w:tcPr>
          <w:p w14:paraId="502454CD" w14:textId="77777777" w:rsidR="00C95BEC" w:rsidRDefault="00E87CBF">
            <w:r>
              <w:rPr>
                <w:sz w:val="15"/>
              </w:rPr>
              <w:t>Which responsibilities are required?</w:t>
            </w:r>
          </w:p>
        </w:tc>
        <w:tc>
          <w:tcPr>
            <w:tcW w:w="5083" w:type="dxa"/>
            <w:tcMar>
              <w:top w:w="70" w:type="dxa"/>
              <w:left w:w="70" w:type="dxa"/>
              <w:bottom w:w="70" w:type="dxa"/>
              <w:right w:w="70" w:type="dxa"/>
            </w:tcMar>
          </w:tcPr>
          <w:p w14:paraId="1CD6157D" w14:textId="77777777" w:rsidR="00C95BEC" w:rsidRDefault="00E87CBF">
            <w:r>
              <w:rPr>
                <w:sz w:val="15"/>
              </w:rPr>
              <w:t>Seer/Maker/Checker/Buyer requirements</w:t>
            </w:r>
          </w:p>
        </w:tc>
      </w:tr>
      <w:tr w:rsidR="00C95BEC" w14:paraId="772D74F3" w14:textId="77777777">
        <w:trPr>
          <w:jc w:val="center"/>
        </w:trPr>
        <w:tc>
          <w:tcPr>
            <w:tcW w:w="5083" w:type="dxa"/>
            <w:shd w:val="clear" w:color="auto" w:fill="F3F5F7"/>
            <w:tcMar>
              <w:top w:w="70" w:type="dxa"/>
              <w:left w:w="70" w:type="dxa"/>
              <w:bottom w:w="70" w:type="dxa"/>
              <w:right w:w="70" w:type="dxa"/>
            </w:tcMar>
          </w:tcPr>
          <w:p w14:paraId="010E94E5" w14:textId="77777777" w:rsidR="00C95BEC" w:rsidRDefault="00E87CBF">
            <w:r>
              <w:rPr>
                <w:sz w:val="15"/>
              </w:rPr>
              <w:t>Which Workers are eligible?</w:t>
            </w:r>
          </w:p>
        </w:tc>
        <w:tc>
          <w:tcPr>
            <w:tcW w:w="5083" w:type="dxa"/>
            <w:tcMar>
              <w:top w:w="70" w:type="dxa"/>
              <w:left w:w="70" w:type="dxa"/>
              <w:bottom w:w="70" w:type="dxa"/>
              <w:right w:w="70" w:type="dxa"/>
            </w:tcMar>
          </w:tcPr>
          <w:p w14:paraId="2772B8EF" w14:textId="77777777" w:rsidR="00C95BEC" w:rsidRDefault="00E87CBF">
            <w:r>
              <w:rPr>
                <w:sz w:val="15"/>
              </w:rPr>
              <w:t>Worker inventory + UWC baseline</w:t>
            </w:r>
          </w:p>
        </w:tc>
      </w:tr>
      <w:tr w:rsidR="00C95BEC" w14:paraId="25F311D7" w14:textId="77777777">
        <w:trPr>
          <w:jc w:val="center"/>
        </w:trPr>
        <w:tc>
          <w:tcPr>
            <w:tcW w:w="5083" w:type="dxa"/>
            <w:shd w:val="clear" w:color="auto" w:fill="F3F5F7"/>
            <w:tcMar>
              <w:top w:w="70" w:type="dxa"/>
              <w:left w:w="70" w:type="dxa"/>
              <w:bottom w:w="70" w:type="dxa"/>
              <w:right w:w="70" w:type="dxa"/>
            </w:tcMar>
          </w:tcPr>
          <w:p w14:paraId="25EC889A" w14:textId="77777777" w:rsidR="00C95BEC" w:rsidRDefault="00E87CBF">
            <w:r>
              <w:rPr>
                <w:sz w:val="15"/>
              </w:rPr>
              <w:t>What work is bounded next?</w:t>
            </w:r>
          </w:p>
        </w:tc>
        <w:tc>
          <w:tcPr>
            <w:tcW w:w="5083" w:type="dxa"/>
            <w:tcMar>
              <w:top w:w="70" w:type="dxa"/>
              <w:left w:w="70" w:type="dxa"/>
              <w:bottom w:w="70" w:type="dxa"/>
              <w:right w:w="70" w:type="dxa"/>
            </w:tcMar>
          </w:tcPr>
          <w:p w14:paraId="7E41309E" w14:textId="77777777" w:rsidR="00C95BEC" w:rsidRDefault="00E87CBF">
            <w:r>
              <w:rPr>
                <w:sz w:val="15"/>
              </w:rPr>
              <w:t>Initial TWOs</w:t>
            </w:r>
          </w:p>
        </w:tc>
      </w:tr>
      <w:tr w:rsidR="00C95BEC" w14:paraId="77BAC3B4" w14:textId="77777777">
        <w:trPr>
          <w:jc w:val="center"/>
        </w:trPr>
        <w:tc>
          <w:tcPr>
            <w:tcW w:w="5083" w:type="dxa"/>
            <w:shd w:val="clear" w:color="auto" w:fill="F3F5F7"/>
            <w:tcMar>
              <w:top w:w="70" w:type="dxa"/>
              <w:left w:w="70" w:type="dxa"/>
              <w:bottom w:w="70" w:type="dxa"/>
              <w:right w:w="70" w:type="dxa"/>
            </w:tcMar>
          </w:tcPr>
          <w:p w14:paraId="79002311" w14:textId="77777777" w:rsidR="00C95BEC" w:rsidRDefault="00E87CBF">
            <w:r>
              <w:rPr>
                <w:sz w:val="15"/>
              </w:rPr>
              <w:t>What must be evidenced?</w:t>
            </w:r>
          </w:p>
        </w:tc>
        <w:tc>
          <w:tcPr>
            <w:tcW w:w="5083" w:type="dxa"/>
            <w:tcMar>
              <w:top w:w="70" w:type="dxa"/>
              <w:left w:w="70" w:type="dxa"/>
              <w:bottom w:w="70" w:type="dxa"/>
              <w:right w:w="70" w:type="dxa"/>
            </w:tcMar>
          </w:tcPr>
          <w:p w14:paraId="154E4BB3" w14:textId="77777777" w:rsidR="00C95BEC" w:rsidRDefault="00E87CBF">
            <w:r>
              <w:rPr>
                <w:sz w:val="15"/>
              </w:rPr>
              <w:t>Evidence obligations + assurance criteria</w:t>
            </w:r>
          </w:p>
        </w:tc>
      </w:tr>
      <w:tr w:rsidR="00C95BEC" w14:paraId="1D5119FF" w14:textId="77777777">
        <w:trPr>
          <w:jc w:val="center"/>
        </w:trPr>
        <w:tc>
          <w:tcPr>
            <w:tcW w:w="5083" w:type="dxa"/>
            <w:shd w:val="clear" w:color="auto" w:fill="F3F5F7"/>
            <w:tcMar>
              <w:top w:w="70" w:type="dxa"/>
              <w:left w:w="70" w:type="dxa"/>
              <w:bottom w:w="70" w:type="dxa"/>
              <w:right w:w="70" w:type="dxa"/>
            </w:tcMar>
          </w:tcPr>
          <w:p w14:paraId="52F2BAA3" w14:textId="77777777" w:rsidR="00C95BEC" w:rsidRDefault="00E87CBF">
            <w:r>
              <w:rPr>
                <w:sz w:val="15"/>
              </w:rPr>
              <w:t>How will state be seen?</w:t>
            </w:r>
          </w:p>
        </w:tc>
        <w:tc>
          <w:tcPr>
            <w:tcW w:w="5083" w:type="dxa"/>
            <w:tcMar>
              <w:top w:w="70" w:type="dxa"/>
              <w:left w:w="70" w:type="dxa"/>
              <w:bottom w:w="70" w:type="dxa"/>
              <w:right w:w="70" w:type="dxa"/>
            </w:tcMar>
          </w:tcPr>
          <w:p w14:paraId="44EEEEEF" w14:textId="77777777" w:rsidR="00C95BEC" w:rsidRDefault="00E87CBF">
            <w:r>
              <w:rPr>
                <w:sz w:val="15"/>
              </w:rPr>
              <w:t>Compass / Snap / Watch setup</w:t>
            </w:r>
          </w:p>
        </w:tc>
      </w:tr>
    </w:tbl>
    <w:p w14:paraId="4B5F16F0" w14:textId="77777777" w:rsidR="00C95BEC" w:rsidRDefault="00C95BEC"/>
    <w:p w14:paraId="19FFE416" w14:textId="77777777" w:rsidR="00C95BEC" w:rsidRDefault="00E87CBF">
      <w:pPr>
        <w:pStyle w:val="Heading1"/>
      </w:pPr>
      <w:r>
        <w:t>3. Running the TRANT Lifecycle</w:t>
      </w:r>
    </w:p>
    <w:p w14:paraId="08DDCCE1" w14:textId="77777777" w:rsidR="00C95BEC" w:rsidRDefault="00E87CBF">
      <w:pPr>
        <w:pStyle w:val="Heading2"/>
      </w:pPr>
      <w:r>
        <w:t>Target</w:t>
      </w:r>
    </w:p>
    <w:p w14:paraId="40097FA6" w14:textId="77777777" w:rsidR="00C95BEC" w:rsidRDefault="00E87CBF">
      <w:r>
        <w:t>Clarify the destination and Trant intent.</w:t>
      </w:r>
    </w:p>
    <w:p w14:paraId="4772C7B7" w14:textId="77777777" w:rsidR="00C95BEC" w:rsidRDefault="00E87CBF">
      <w:pPr>
        <w:pStyle w:val="ListBullet"/>
        <w:spacing w:after="50"/>
      </w:pPr>
      <w:r>
        <w:t>Confirm Target Future relevance</w:t>
      </w:r>
    </w:p>
    <w:p w14:paraId="19648B1A" w14:textId="77777777" w:rsidR="00C95BEC" w:rsidRDefault="00E87CBF">
      <w:pPr>
        <w:pStyle w:val="ListBullet"/>
        <w:spacing w:after="50"/>
      </w:pPr>
      <w:r>
        <w:t>Define value commitment</w:t>
      </w:r>
    </w:p>
    <w:p w14:paraId="41393332" w14:textId="77777777" w:rsidR="00C95BEC" w:rsidRDefault="00E87CBF">
      <w:pPr>
        <w:pStyle w:val="ListBullet"/>
        <w:spacing w:after="50"/>
      </w:pPr>
      <w:r>
        <w:t>Set closure conditions</w:t>
      </w:r>
    </w:p>
    <w:p w14:paraId="4A6DDB55" w14:textId="77777777" w:rsidR="00C95BEC" w:rsidRDefault="00E87CBF">
      <w:pPr>
        <w:pStyle w:val="ListBullet"/>
        <w:spacing w:after="50"/>
      </w:pPr>
      <w:r>
        <w:t>Identify material policy constraints</w:t>
      </w:r>
    </w:p>
    <w:p w14:paraId="7384215F" w14:textId="77777777" w:rsidR="00C95BEC" w:rsidRDefault="00E87CBF">
      <w:pPr>
        <w:pStyle w:val="Heading2"/>
      </w:pPr>
      <w:r>
        <w:t>Review</w:t>
      </w:r>
    </w:p>
    <w:p w14:paraId="2F011D05" w14:textId="77777777" w:rsidR="00C95BEC" w:rsidRDefault="00E87CBF">
      <w:r>
        <w:t>Understand current-state value through VEM.</w:t>
      </w:r>
    </w:p>
    <w:p w14:paraId="58C304AF" w14:textId="77777777" w:rsidR="00C95BEC" w:rsidRDefault="00E87CBF">
      <w:pPr>
        <w:pStyle w:val="ListBullet"/>
        <w:spacing w:after="50"/>
      </w:pPr>
      <w:r>
        <w:t>Extract capabilities, rules, data, dependencies, controls, behaviors</w:t>
      </w:r>
    </w:p>
    <w:p w14:paraId="4C978C6F" w14:textId="77777777" w:rsidR="00C95BEC" w:rsidRDefault="00E87CBF">
      <w:pPr>
        <w:pStyle w:val="ListBullet"/>
        <w:spacing w:after="50"/>
      </w:pPr>
      <w:r>
        <w:t>Evaluate future relevance and risk</w:t>
      </w:r>
    </w:p>
    <w:p w14:paraId="6CF35683" w14:textId="77777777" w:rsidR="00C95BEC" w:rsidRDefault="00E87CBF">
      <w:pPr>
        <w:pStyle w:val="ListBullet"/>
        <w:spacing w:after="50"/>
      </w:pPr>
      <w:r>
        <w:t>Disposition to Preserve, Enhance, Retire, or Risk</w:t>
      </w:r>
    </w:p>
    <w:p w14:paraId="4E4AD7C6" w14:textId="77777777" w:rsidR="00C95BEC" w:rsidRDefault="00E87CBF">
      <w:pPr>
        <w:pStyle w:val="Heading2"/>
      </w:pPr>
      <w:r>
        <w:t>Analyze</w:t>
      </w:r>
    </w:p>
    <w:p w14:paraId="2844AE42" w14:textId="77777777" w:rsidR="00C95BEC" w:rsidRDefault="00E87CBF">
      <w:r>
        <w:t>Identify transformation distance.</w:t>
      </w:r>
    </w:p>
    <w:p w14:paraId="6DDDDFF5" w14:textId="77777777" w:rsidR="00C95BEC" w:rsidRDefault="00E87CBF">
      <w:pPr>
        <w:pStyle w:val="ListBullet"/>
        <w:spacing w:after="50"/>
      </w:pPr>
      <w:r>
        <w:lastRenderedPageBreak/>
        <w:t>Capability gaps</w:t>
      </w:r>
    </w:p>
    <w:p w14:paraId="73E5ACDE" w14:textId="77777777" w:rsidR="00C95BEC" w:rsidRDefault="00E87CBF">
      <w:pPr>
        <w:pStyle w:val="ListBullet"/>
        <w:spacing w:after="50"/>
      </w:pPr>
      <w:r>
        <w:t>Data/integration gaps</w:t>
      </w:r>
    </w:p>
    <w:p w14:paraId="4D25AC05" w14:textId="77777777" w:rsidR="00C95BEC" w:rsidRDefault="00E87CBF">
      <w:pPr>
        <w:pStyle w:val="ListBullet"/>
        <w:spacing w:after="50"/>
      </w:pPr>
      <w:r>
        <w:t>Control/risk gaps</w:t>
      </w:r>
    </w:p>
    <w:p w14:paraId="394520E5" w14:textId="77777777" w:rsidR="00C95BEC" w:rsidRDefault="00E87CBF">
      <w:pPr>
        <w:pStyle w:val="ListBullet"/>
        <w:spacing w:after="50"/>
      </w:pPr>
      <w:r>
        <w:t>Worker capability/eligibility gaps</w:t>
      </w:r>
    </w:p>
    <w:p w14:paraId="2C0BCC4E" w14:textId="77777777" w:rsidR="00C95BEC" w:rsidRDefault="00E87CBF">
      <w:pPr>
        <w:pStyle w:val="Heading2"/>
      </w:pPr>
      <w:r>
        <w:t>Navigate</w:t>
      </w:r>
    </w:p>
    <w:p w14:paraId="5BA9A161" w14:textId="77777777" w:rsidR="00C95BEC" w:rsidRDefault="00E87CBF">
      <w:r>
        <w:t>Choose the next safe movement.</w:t>
      </w:r>
    </w:p>
    <w:p w14:paraId="15A0E64D" w14:textId="77777777" w:rsidR="00C95BEC" w:rsidRDefault="00E87CBF">
      <w:pPr>
        <w:pStyle w:val="ListBullet"/>
        <w:spacing w:after="50"/>
      </w:pPr>
      <w:r>
        <w:t>Sequence work</w:t>
      </w:r>
    </w:p>
    <w:p w14:paraId="58AFC634" w14:textId="77777777" w:rsidR="00C95BEC" w:rsidRDefault="00E87CBF">
      <w:pPr>
        <w:pStyle w:val="ListBullet"/>
        <w:spacing w:after="50"/>
      </w:pPr>
      <w:r>
        <w:t>Resolve dependencies</w:t>
      </w:r>
    </w:p>
    <w:p w14:paraId="6A539580" w14:textId="77777777" w:rsidR="00C95BEC" w:rsidRDefault="00E87CBF">
      <w:pPr>
        <w:pStyle w:val="ListBullet"/>
        <w:spacing w:after="50"/>
      </w:pPr>
      <w:r>
        <w:t>Set assurance depth</w:t>
      </w:r>
    </w:p>
    <w:p w14:paraId="239B3CD3" w14:textId="77777777" w:rsidR="00C95BEC" w:rsidRDefault="00E87CBF">
      <w:pPr>
        <w:pStyle w:val="ListBullet"/>
        <w:spacing w:after="50"/>
      </w:pPr>
      <w:r>
        <w:t>Select Workers</w:t>
      </w:r>
    </w:p>
    <w:p w14:paraId="15791EA8" w14:textId="77777777" w:rsidR="00C95BEC" w:rsidRDefault="00E87CBF">
      <w:pPr>
        <w:pStyle w:val="ListBullet"/>
        <w:spacing w:after="50"/>
      </w:pPr>
      <w:r>
        <w:t>Define HOLD/ESCALATE paths</w:t>
      </w:r>
    </w:p>
    <w:p w14:paraId="6299C8C1" w14:textId="77777777" w:rsidR="00C95BEC" w:rsidRDefault="00E87CBF">
      <w:pPr>
        <w:pStyle w:val="Heading2"/>
      </w:pPr>
      <w:r>
        <w:t>Transform</w:t>
      </w:r>
    </w:p>
    <w:p w14:paraId="40B77705" w14:textId="77777777" w:rsidR="00C95BEC" w:rsidRDefault="00E87CBF">
      <w:r>
        <w:t>Perform bounded work and generate evidence.</w:t>
      </w:r>
    </w:p>
    <w:p w14:paraId="595DCBAA" w14:textId="77777777" w:rsidR="00C95BEC" w:rsidRDefault="00E87CBF">
      <w:pPr>
        <w:pStyle w:val="ListBullet"/>
        <w:spacing w:after="50"/>
      </w:pPr>
      <w:r>
        <w:t>Issue TWOs</w:t>
      </w:r>
    </w:p>
    <w:p w14:paraId="7E5B1238" w14:textId="77777777" w:rsidR="00C95BEC" w:rsidRDefault="00E87CBF">
      <w:pPr>
        <w:pStyle w:val="ListBullet"/>
        <w:spacing w:after="50"/>
      </w:pPr>
      <w:r>
        <w:t>Validate UWC</w:t>
      </w:r>
    </w:p>
    <w:p w14:paraId="06D6E9E8" w14:textId="77777777" w:rsidR="00C95BEC" w:rsidRDefault="00E87CBF">
      <w:pPr>
        <w:pStyle w:val="ListBullet"/>
        <w:spacing w:after="50"/>
      </w:pPr>
      <w:r>
        <w:t>Execute</w:t>
      </w:r>
    </w:p>
    <w:p w14:paraId="7DD80A9F" w14:textId="77777777" w:rsidR="00C95BEC" w:rsidRDefault="00E87CBF">
      <w:pPr>
        <w:pStyle w:val="ListBullet"/>
        <w:spacing w:after="50"/>
      </w:pPr>
      <w:r>
        <w:t>Capture evidence</w:t>
      </w:r>
    </w:p>
    <w:p w14:paraId="641C6F72" w14:textId="77777777" w:rsidR="00C95BEC" w:rsidRDefault="00E87CBF">
      <w:pPr>
        <w:pStyle w:val="ListBullet"/>
        <w:spacing w:after="50"/>
      </w:pPr>
      <w:r>
        <w:t>Run Checker/Buyer activities</w:t>
      </w:r>
    </w:p>
    <w:p w14:paraId="31EC41A8" w14:textId="77777777" w:rsidR="00C95BEC" w:rsidRDefault="00E87CBF">
      <w:pPr>
        <w:pStyle w:val="ListBullet"/>
        <w:spacing w:after="50"/>
      </w:pPr>
      <w:r>
        <w:t>Update KEA/Navigators</w:t>
      </w:r>
    </w:p>
    <w:p w14:paraId="4F9F8A52" w14:textId="77777777" w:rsidR="00C95BEC" w:rsidRDefault="00E87CBF">
      <w:pPr>
        <w:pStyle w:val="Heading1"/>
      </w:pPr>
      <w:r>
        <w:t>4. Role Practice</w:t>
      </w:r>
    </w:p>
    <w:tbl>
      <w:tblPr>
        <w:tblW w:w="0" w:type="auto"/>
        <w:jc w:val="center"/>
        <w:tblLook w:val="04A0" w:firstRow="1" w:lastRow="0" w:firstColumn="1" w:lastColumn="0" w:noHBand="0" w:noVBand="1"/>
      </w:tblPr>
      <w:tblGrid>
        <w:gridCol w:w="3389"/>
        <w:gridCol w:w="3389"/>
        <w:gridCol w:w="3389"/>
      </w:tblGrid>
      <w:tr w:rsidR="00C95BEC" w14:paraId="5BB8F001" w14:textId="77777777">
        <w:trPr>
          <w:tblHeader/>
          <w:jc w:val="center"/>
        </w:trPr>
        <w:tc>
          <w:tcPr>
            <w:tcW w:w="3389" w:type="dxa"/>
            <w:shd w:val="clear" w:color="auto" w:fill="17324D"/>
            <w:tcMar>
              <w:top w:w="70" w:type="dxa"/>
              <w:left w:w="70" w:type="dxa"/>
              <w:bottom w:w="70" w:type="dxa"/>
              <w:right w:w="70" w:type="dxa"/>
            </w:tcMar>
          </w:tcPr>
          <w:p w14:paraId="368A3FC9" w14:textId="77777777" w:rsidR="00C95BEC" w:rsidRDefault="00E87CBF">
            <w:r>
              <w:rPr>
                <w:b/>
                <w:color w:val="FFFFFF"/>
                <w:sz w:val="16"/>
              </w:rPr>
              <w:t>Role</w:t>
            </w:r>
          </w:p>
        </w:tc>
        <w:tc>
          <w:tcPr>
            <w:tcW w:w="3389" w:type="dxa"/>
            <w:shd w:val="clear" w:color="auto" w:fill="17324D"/>
            <w:tcMar>
              <w:top w:w="70" w:type="dxa"/>
              <w:left w:w="70" w:type="dxa"/>
              <w:bottom w:w="70" w:type="dxa"/>
              <w:right w:w="70" w:type="dxa"/>
            </w:tcMar>
          </w:tcPr>
          <w:p w14:paraId="70BDCD3F" w14:textId="77777777" w:rsidR="00C95BEC" w:rsidRDefault="00E87CBF">
            <w:r>
              <w:rPr>
                <w:b/>
                <w:color w:val="FFFFFF"/>
                <w:sz w:val="16"/>
              </w:rPr>
              <w:t>Practitioner Behaviors</w:t>
            </w:r>
          </w:p>
        </w:tc>
        <w:tc>
          <w:tcPr>
            <w:tcW w:w="3389" w:type="dxa"/>
            <w:shd w:val="clear" w:color="auto" w:fill="17324D"/>
            <w:tcMar>
              <w:top w:w="70" w:type="dxa"/>
              <w:left w:w="70" w:type="dxa"/>
              <w:bottom w:w="70" w:type="dxa"/>
              <w:right w:w="70" w:type="dxa"/>
            </w:tcMar>
          </w:tcPr>
          <w:p w14:paraId="3C77D1D0" w14:textId="77777777" w:rsidR="00C95BEC" w:rsidRDefault="00E87CBF">
            <w:r>
              <w:rPr>
                <w:b/>
                <w:color w:val="FFFFFF"/>
                <w:sz w:val="16"/>
              </w:rPr>
              <w:t>Typical Work Order</w:t>
            </w:r>
          </w:p>
        </w:tc>
      </w:tr>
      <w:tr w:rsidR="00C95BEC" w14:paraId="401EB9FB" w14:textId="77777777">
        <w:trPr>
          <w:jc w:val="center"/>
        </w:trPr>
        <w:tc>
          <w:tcPr>
            <w:tcW w:w="3389" w:type="dxa"/>
            <w:shd w:val="clear" w:color="auto" w:fill="F3F5F7"/>
            <w:tcMar>
              <w:top w:w="70" w:type="dxa"/>
              <w:left w:w="70" w:type="dxa"/>
              <w:bottom w:w="70" w:type="dxa"/>
              <w:right w:w="70" w:type="dxa"/>
            </w:tcMar>
          </w:tcPr>
          <w:p w14:paraId="60DC2F3A" w14:textId="77777777" w:rsidR="00C95BEC" w:rsidRDefault="00E87CBF">
            <w:r>
              <w:rPr>
                <w:sz w:val="15"/>
              </w:rPr>
              <w:t>Seer</w:t>
            </w:r>
          </w:p>
        </w:tc>
        <w:tc>
          <w:tcPr>
            <w:tcW w:w="3389" w:type="dxa"/>
            <w:tcMar>
              <w:top w:w="70" w:type="dxa"/>
              <w:left w:w="70" w:type="dxa"/>
              <w:bottom w:w="70" w:type="dxa"/>
              <w:right w:w="70" w:type="dxa"/>
            </w:tcMar>
          </w:tcPr>
          <w:p w14:paraId="7A0CAE3E" w14:textId="77777777" w:rsidR="00C95BEC" w:rsidRDefault="00E87CBF">
            <w:r>
              <w:rPr>
                <w:sz w:val="15"/>
              </w:rPr>
              <w:t>Protect intent, value, trade-offs, readiness, adoption, and strategic direction.</w:t>
            </w:r>
          </w:p>
        </w:tc>
        <w:tc>
          <w:tcPr>
            <w:tcW w:w="3389" w:type="dxa"/>
            <w:tcMar>
              <w:top w:w="70" w:type="dxa"/>
              <w:left w:w="70" w:type="dxa"/>
              <w:bottom w:w="70" w:type="dxa"/>
              <w:right w:w="70" w:type="dxa"/>
            </w:tcMar>
          </w:tcPr>
          <w:p w14:paraId="5385691F" w14:textId="77777777" w:rsidR="00C95BEC" w:rsidRDefault="00E87CBF">
            <w:r>
              <w:rPr>
                <w:sz w:val="15"/>
              </w:rPr>
              <w:t>SWO</w:t>
            </w:r>
          </w:p>
        </w:tc>
      </w:tr>
      <w:tr w:rsidR="00C95BEC" w14:paraId="5D17458A" w14:textId="77777777">
        <w:trPr>
          <w:jc w:val="center"/>
        </w:trPr>
        <w:tc>
          <w:tcPr>
            <w:tcW w:w="3389" w:type="dxa"/>
            <w:shd w:val="clear" w:color="auto" w:fill="F3F5F7"/>
            <w:tcMar>
              <w:top w:w="70" w:type="dxa"/>
              <w:left w:w="70" w:type="dxa"/>
              <w:bottom w:w="70" w:type="dxa"/>
              <w:right w:w="70" w:type="dxa"/>
            </w:tcMar>
          </w:tcPr>
          <w:p w14:paraId="75D1A55A" w14:textId="77777777" w:rsidR="00C95BEC" w:rsidRDefault="00E87CBF">
            <w:r>
              <w:rPr>
                <w:sz w:val="15"/>
              </w:rPr>
              <w:t>Maker</w:t>
            </w:r>
          </w:p>
        </w:tc>
        <w:tc>
          <w:tcPr>
            <w:tcW w:w="3389" w:type="dxa"/>
            <w:tcMar>
              <w:top w:w="70" w:type="dxa"/>
              <w:left w:w="70" w:type="dxa"/>
              <w:bottom w:w="70" w:type="dxa"/>
              <w:right w:w="70" w:type="dxa"/>
            </w:tcMar>
          </w:tcPr>
          <w:p w14:paraId="06C15F5E" w14:textId="77777777" w:rsidR="00C95BEC" w:rsidRDefault="00E87CBF">
            <w:r>
              <w:rPr>
                <w:sz w:val="15"/>
              </w:rPr>
              <w:t>Create or transform within scope and return required evidence.</w:t>
            </w:r>
          </w:p>
        </w:tc>
        <w:tc>
          <w:tcPr>
            <w:tcW w:w="3389" w:type="dxa"/>
            <w:tcMar>
              <w:top w:w="70" w:type="dxa"/>
              <w:left w:w="70" w:type="dxa"/>
              <w:bottom w:w="70" w:type="dxa"/>
              <w:right w:w="70" w:type="dxa"/>
            </w:tcMar>
          </w:tcPr>
          <w:p w14:paraId="43743B64" w14:textId="77777777" w:rsidR="00C95BEC" w:rsidRDefault="00E87CBF">
            <w:r>
              <w:rPr>
                <w:sz w:val="15"/>
              </w:rPr>
              <w:t>MWO</w:t>
            </w:r>
          </w:p>
        </w:tc>
      </w:tr>
      <w:tr w:rsidR="00C95BEC" w14:paraId="612C48A6" w14:textId="77777777">
        <w:trPr>
          <w:jc w:val="center"/>
        </w:trPr>
        <w:tc>
          <w:tcPr>
            <w:tcW w:w="3389" w:type="dxa"/>
            <w:shd w:val="clear" w:color="auto" w:fill="F3F5F7"/>
            <w:tcMar>
              <w:top w:w="70" w:type="dxa"/>
              <w:left w:w="70" w:type="dxa"/>
              <w:bottom w:w="70" w:type="dxa"/>
              <w:right w:w="70" w:type="dxa"/>
            </w:tcMar>
          </w:tcPr>
          <w:p w14:paraId="60D3B3A5" w14:textId="77777777" w:rsidR="00C95BEC" w:rsidRDefault="00E87CBF">
            <w:r>
              <w:rPr>
                <w:sz w:val="15"/>
              </w:rPr>
              <w:t>Checker</w:t>
            </w:r>
          </w:p>
        </w:tc>
        <w:tc>
          <w:tcPr>
            <w:tcW w:w="3389" w:type="dxa"/>
            <w:tcMar>
              <w:top w:w="70" w:type="dxa"/>
              <w:left w:w="70" w:type="dxa"/>
              <w:bottom w:w="70" w:type="dxa"/>
              <w:right w:w="70" w:type="dxa"/>
            </w:tcMar>
          </w:tcPr>
          <w:p w14:paraId="349FAC17" w14:textId="77777777" w:rsidR="00C95BEC" w:rsidRDefault="00E87CBF">
            <w:r>
              <w:rPr>
                <w:sz w:val="15"/>
              </w:rPr>
              <w:t>Verify against quality, architecture, security, risk, data, compliance, control, and other criteria.</w:t>
            </w:r>
          </w:p>
        </w:tc>
        <w:tc>
          <w:tcPr>
            <w:tcW w:w="3389" w:type="dxa"/>
            <w:tcMar>
              <w:top w:w="70" w:type="dxa"/>
              <w:left w:w="70" w:type="dxa"/>
              <w:bottom w:w="70" w:type="dxa"/>
              <w:right w:w="70" w:type="dxa"/>
            </w:tcMar>
          </w:tcPr>
          <w:p w14:paraId="6C99BE74" w14:textId="77777777" w:rsidR="00C95BEC" w:rsidRDefault="00E87CBF">
            <w:r>
              <w:rPr>
                <w:sz w:val="15"/>
              </w:rPr>
              <w:t>CWO</w:t>
            </w:r>
          </w:p>
        </w:tc>
      </w:tr>
      <w:tr w:rsidR="00C95BEC" w14:paraId="56D2C932" w14:textId="77777777">
        <w:trPr>
          <w:jc w:val="center"/>
        </w:trPr>
        <w:tc>
          <w:tcPr>
            <w:tcW w:w="3389" w:type="dxa"/>
            <w:shd w:val="clear" w:color="auto" w:fill="F3F5F7"/>
            <w:tcMar>
              <w:top w:w="70" w:type="dxa"/>
              <w:left w:w="70" w:type="dxa"/>
              <w:bottom w:w="70" w:type="dxa"/>
              <w:right w:w="70" w:type="dxa"/>
            </w:tcMar>
          </w:tcPr>
          <w:p w14:paraId="7AEBE058" w14:textId="77777777" w:rsidR="00C95BEC" w:rsidRDefault="00E87CBF">
            <w:r>
              <w:rPr>
                <w:sz w:val="15"/>
              </w:rPr>
              <w:t>Buyer</w:t>
            </w:r>
          </w:p>
        </w:tc>
        <w:tc>
          <w:tcPr>
            <w:tcW w:w="3389" w:type="dxa"/>
            <w:tcMar>
              <w:top w:w="70" w:type="dxa"/>
              <w:left w:w="70" w:type="dxa"/>
              <w:bottom w:w="70" w:type="dxa"/>
              <w:right w:w="70" w:type="dxa"/>
            </w:tcMar>
          </w:tcPr>
          <w:p w14:paraId="460A7A38" w14:textId="77777777" w:rsidR="00C95BEC" w:rsidRDefault="00E87CBF">
            <w:r>
              <w:rPr>
                <w:sz w:val="15"/>
              </w:rPr>
              <w:t>Evaluate suitability for consumption, operations, user/customer value, or downstream use.</w:t>
            </w:r>
          </w:p>
        </w:tc>
        <w:tc>
          <w:tcPr>
            <w:tcW w:w="3389" w:type="dxa"/>
            <w:tcMar>
              <w:top w:w="70" w:type="dxa"/>
              <w:left w:w="70" w:type="dxa"/>
              <w:bottom w:w="70" w:type="dxa"/>
              <w:right w:w="70" w:type="dxa"/>
            </w:tcMar>
          </w:tcPr>
          <w:p w14:paraId="1AFF7FB3" w14:textId="77777777" w:rsidR="00C95BEC" w:rsidRDefault="00E87CBF">
            <w:r>
              <w:rPr>
                <w:sz w:val="15"/>
              </w:rPr>
              <w:t>BWO</w:t>
            </w:r>
          </w:p>
        </w:tc>
      </w:tr>
    </w:tbl>
    <w:p w14:paraId="6F7D74D4" w14:textId="77777777" w:rsidR="00C95BEC" w:rsidRDefault="00C95BEC"/>
    <w:p w14:paraId="3AF7D7E9" w14:textId="77777777" w:rsidR="00C95BEC" w:rsidRDefault="00E87CBF">
      <w:pPr>
        <w:pStyle w:val="Heading1"/>
      </w:pPr>
      <w:r>
        <w:t>5. Worker Selection</w:t>
      </w:r>
    </w:p>
    <w:p w14:paraId="5122D8E4" w14:textId="77777777" w:rsidR="00C95BEC" w:rsidRDefault="00E87CBF">
      <w:r>
        <w:t>Use Responsibility First -&gt; Worker Second. Do not design the transformation around whichever agent, vendor, or team happens to be available.</w:t>
      </w:r>
    </w:p>
    <w:p w14:paraId="40E7751A" w14:textId="77777777" w:rsidR="00C95BEC" w:rsidRDefault="00E87CBF">
      <w:pPr>
        <w:pStyle w:val="ListBullet"/>
        <w:spacing w:after="50"/>
      </w:pPr>
      <w:r>
        <w:t>Identify required Role responsibility.</w:t>
      </w:r>
    </w:p>
    <w:p w14:paraId="0A842ADC" w14:textId="77777777" w:rsidR="00C95BEC" w:rsidRDefault="00E87CBF">
      <w:pPr>
        <w:pStyle w:val="ListBullet"/>
        <w:spacing w:after="50"/>
      </w:pPr>
      <w:r>
        <w:t>Identify capability needed.</w:t>
      </w:r>
    </w:p>
    <w:p w14:paraId="0B6CE72F" w14:textId="77777777" w:rsidR="00C95BEC" w:rsidRDefault="00E87CBF">
      <w:pPr>
        <w:pStyle w:val="ListBullet"/>
        <w:spacing w:after="50"/>
      </w:pPr>
      <w:r>
        <w:t>Find eligible Workers.</w:t>
      </w:r>
    </w:p>
    <w:p w14:paraId="6BED9E75" w14:textId="77777777" w:rsidR="00C95BEC" w:rsidRDefault="00E87CBF">
      <w:pPr>
        <w:pStyle w:val="ListBullet"/>
        <w:spacing w:after="50"/>
      </w:pPr>
      <w:r>
        <w:t>Validate UWC, access, independence, authority, and autonomy.</w:t>
      </w:r>
    </w:p>
    <w:p w14:paraId="15E4EB0A" w14:textId="77777777" w:rsidR="00C95BEC" w:rsidRDefault="00E87CBF">
      <w:pPr>
        <w:pStyle w:val="ListBullet"/>
        <w:spacing w:after="50"/>
      </w:pPr>
      <w:r>
        <w:t>Issue the TWO with context and evidence obligations.</w:t>
      </w:r>
    </w:p>
    <w:p w14:paraId="0A198DEB" w14:textId="77777777" w:rsidR="00C95BEC" w:rsidRDefault="00E87CBF">
      <w:pPr>
        <w:pStyle w:val="ListBullet"/>
        <w:spacing w:after="50"/>
      </w:pPr>
      <w:r>
        <w:lastRenderedPageBreak/>
        <w:t>Monitor execution and exceptions.</w:t>
      </w:r>
    </w:p>
    <w:p w14:paraId="11661517" w14:textId="77777777" w:rsidR="00C95BEC" w:rsidRDefault="00E87CBF">
      <w:pPr>
        <w:pStyle w:val="ListBullet"/>
        <w:spacing w:after="50"/>
      </w:pPr>
      <w:r>
        <w:t>Requalify when material Worker characteristics change.</w:t>
      </w:r>
    </w:p>
    <w:p w14:paraId="1443C6FC" w14:textId="77777777" w:rsidR="00C95BEC" w:rsidRDefault="00E87CBF">
      <w:pPr>
        <w:pStyle w:val="Heading1"/>
      </w:pPr>
      <w:r>
        <w:t>6. UWC and TWO in Practice</w:t>
      </w:r>
    </w:p>
    <w:tbl>
      <w:tblPr>
        <w:tblW w:w="0" w:type="auto"/>
        <w:jc w:val="center"/>
        <w:tblLook w:val="04A0" w:firstRow="1" w:lastRow="0" w:firstColumn="1" w:lastColumn="0" w:noHBand="0" w:noVBand="1"/>
      </w:tblPr>
      <w:tblGrid>
        <w:gridCol w:w="10166"/>
      </w:tblGrid>
      <w:tr w:rsidR="00C95BEC" w14:paraId="274EBEE5" w14:textId="77777777">
        <w:trPr>
          <w:tblHeader/>
          <w:jc w:val="center"/>
        </w:trPr>
        <w:tc>
          <w:tcPr>
            <w:tcW w:w="10166" w:type="dxa"/>
            <w:shd w:val="clear" w:color="auto" w:fill="EAF2F8"/>
            <w:tcMar>
              <w:top w:w="110" w:type="dxa"/>
              <w:left w:w="140" w:type="dxa"/>
              <w:bottom w:w="110" w:type="dxa"/>
              <w:right w:w="140" w:type="dxa"/>
            </w:tcMar>
          </w:tcPr>
          <w:p w14:paraId="07356ACC" w14:textId="77777777" w:rsidR="00C95BEC" w:rsidRDefault="00E87CBF">
            <w:pPr>
              <w:jc w:val="center"/>
            </w:pPr>
            <w:r>
              <w:rPr>
                <w:rFonts w:ascii="Aptos Display" w:hAnsi="Aptos Display"/>
                <w:b/>
                <w:color w:val="17324D"/>
                <w:sz w:val="22"/>
              </w:rPr>
              <w:t>UWC governs the Worker. TWO governs the work.</w:t>
            </w:r>
          </w:p>
        </w:tc>
      </w:tr>
    </w:tbl>
    <w:p w14:paraId="12FE262B" w14:textId="77777777" w:rsidR="00C95BEC" w:rsidRDefault="00C95BEC"/>
    <w:tbl>
      <w:tblPr>
        <w:tblW w:w="0" w:type="auto"/>
        <w:jc w:val="center"/>
        <w:tblLook w:val="04A0" w:firstRow="1" w:lastRow="0" w:firstColumn="1" w:lastColumn="0" w:noHBand="0" w:noVBand="1"/>
      </w:tblPr>
      <w:tblGrid>
        <w:gridCol w:w="5083"/>
        <w:gridCol w:w="5083"/>
      </w:tblGrid>
      <w:tr w:rsidR="00C95BEC" w14:paraId="36D1035B" w14:textId="77777777">
        <w:trPr>
          <w:tblHeader/>
          <w:jc w:val="center"/>
        </w:trPr>
        <w:tc>
          <w:tcPr>
            <w:tcW w:w="5083" w:type="dxa"/>
            <w:shd w:val="clear" w:color="auto" w:fill="17324D"/>
            <w:tcMar>
              <w:top w:w="70" w:type="dxa"/>
              <w:left w:w="70" w:type="dxa"/>
              <w:bottom w:w="70" w:type="dxa"/>
              <w:right w:w="70" w:type="dxa"/>
            </w:tcMar>
          </w:tcPr>
          <w:p w14:paraId="3B0B0455" w14:textId="77777777" w:rsidR="00C95BEC" w:rsidRDefault="00E87CBF">
            <w:r>
              <w:rPr>
                <w:b/>
                <w:color w:val="FFFFFF"/>
                <w:sz w:val="16"/>
              </w:rPr>
              <w:t>UWC Answers</w:t>
            </w:r>
          </w:p>
        </w:tc>
        <w:tc>
          <w:tcPr>
            <w:tcW w:w="5083" w:type="dxa"/>
            <w:shd w:val="clear" w:color="auto" w:fill="17324D"/>
            <w:tcMar>
              <w:top w:w="70" w:type="dxa"/>
              <w:left w:w="70" w:type="dxa"/>
              <w:bottom w:w="70" w:type="dxa"/>
              <w:right w:w="70" w:type="dxa"/>
            </w:tcMar>
          </w:tcPr>
          <w:p w14:paraId="30B1FA03" w14:textId="77777777" w:rsidR="00C95BEC" w:rsidRDefault="00E87CBF">
            <w:r>
              <w:rPr>
                <w:b/>
                <w:color w:val="FFFFFF"/>
                <w:sz w:val="16"/>
              </w:rPr>
              <w:t>TWO Answers</w:t>
            </w:r>
          </w:p>
        </w:tc>
      </w:tr>
      <w:tr w:rsidR="00C95BEC" w14:paraId="30E37BA2" w14:textId="77777777">
        <w:trPr>
          <w:jc w:val="center"/>
        </w:trPr>
        <w:tc>
          <w:tcPr>
            <w:tcW w:w="5083" w:type="dxa"/>
            <w:shd w:val="clear" w:color="auto" w:fill="F3F5F7"/>
            <w:tcMar>
              <w:top w:w="70" w:type="dxa"/>
              <w:left w:w="70" w:type="dxa"/>
              <w:bottom w:w="70" w:type="dxa"/>
              <w:right w:w="70" w:type="dxa"/>
            </w:tcMar>
          </w:tcPr>
          <w:p w14:paraId="0B7A91BA" w14:textId="77777777" w:rsidR="00C95BEC" w:rsidRDefault="00E87CBF">
            <w:r>
              <w:rPr>
                <w:sz w:val="15"/>
              </w:rPr>
              <w:t>Who/what is the Worker?</w:t>
            </w:r>
          </w:p>
        </w:tc>
        <w:tc>
          <w:tcPr>
            <w:tcW w:w="5083" w:type="dxa"/>
            <w:tcMar>
              <w:top w:w="70" w:type="dxa"/>
              <w:left w:w="70" w:type="dxa"/>
              <w:bottom w:w="70" w:type="dxa"/>
              <w:right w:w="70" w:type="dxa"/>
            </w:tcMar>
          </w:tcPr>
          <w:p w14:paraId="783553F9" w14:textId="77777777" w:rsidR="00C95BEC" w:rsidRDefault="00E87CBF">
            <w:r>
              <w:rPr>
                <w:sz w:val="15"/>
              </w:rPr>
              <w:t>What bounded work is required?</w:t>
            </w:r>
          </w:p>
        </w:tc>
      </w:tr>
      <w:tr w:rsidR="00C95BEC" w14:paraId="3B3234A6" w14:textId="77777777">
        <w:trPr>
          <w:jc w:val="center"/>
        </w:trPr>
        <w:tc>
          <w:tcPr>
            <w:tcW w:w="5083" w:type="dxa"/>
            <w:shd w:val="clear" w:color="auto" w:fill="F3F5F7"/>
            <w:tcMar>
              <w:top w:w="70" w:type="dxa"/>
              <w:left w:w="70" w:type="dxa"/>
              <w:bottom w:w="70" w:type="dxa"/>
              <w:right w:w="70" w:type="dxa"/>
            </w:tcMar>
          </w:tcPr>
          <w:p w14:paraId="220AB937" w14:textId="77777777" w:rsidR="00C95BEC" w:rsidRDefault="00E87CBF">
            <w:r>
              <w:rPr>
                <w:sz w:val="15"/>
              </w:rPr>
              <w:t>What can the Worker do?</w:t>
            </w:r>
          </w:p>
        </w:tc>
        <w:tc>
          <w:tcPr>
            <w:tcW w:w="5083" w:type="dxa"/>
            <w:tcMar>
              <w:top w:w="70" w:type="dxa"/>
              <w:left w:w="70" w:type="dxa"/>
              <w:bottom w:w="70" w:type="dxa"/>
              <w:right w:w="70" w:type="dxa"/>
            </w:tcMar>
          </w:tcPr>
          <w:p w14:paraId="107031C6" w14:textId="77777777" w:rsidR="00C95BEC" w:rsidRDefault="00E87CBF">
            <w:r>
              <w:rPr>
                <w:sz w:val="15"/>
              </w:rPr>
              <w:t>Which Trant/TRANT movement does it support?</w:t>
            </w:r>
          </w:p>
        </w:tc>
      </w:tr>
      <w:tr w:rsidR="00C95BEC" w14:paraId="155BCFF0" w14:textId="77777777">
        <w:trPr>
          <w:jc w:val="center"/>
        </w:trPr>
        <w:tc>
          <w:tcPr>
            <w:tcW w:w="5083" w:type="dxa"/>
            <w:shd w:val="clear" w:color="auto" w:fill="F3F5F7"/>
            <w:tcMar>
              <w:top w:w="70" w:type="dxa"/>
              <w:left w:w="70" w:type="dxa"/>
              <w:bottom w:w="70" w:type="dxa"/>
              <w:right w:w="70" w:type="dxa"/>
            </w:tcMar>
          </w:tcPr>
          <w:p w14:paraId="101A953B" w14:textId="77777777" w:rsidR="00C95BEC" w:rsidRDefault="00E87CBF">
            <w:r>
              <w:rPr>
                <w:sz w:val="15"/>
              </w:rPr>
              <w:t>How independently?</w:t>
            </w:r>
          </w:p>
        </w:tc>
        <w:tc>
          <w:tcPr>
            <w:tcW w:w="5083" w:type="dxa"/>
            <w:tcMar>
              <w:top w:w="70" w:type="dxa"/>
              <w:left w:w="70" w:type="dxa"/>
              <w:bottom w:w="70" w:type="dxa"/>
              <w:right w:w="70" w:type="dxa"/>
            </w:tcMar>
          </w:tcPr>
          <w:p w14:paraId="66DBB280" w14:textId="77777777" w:rsidR="00C95BEC" w:rsidRDefault="00E87CBF">
            <w:r>
              <w:rPr>
                <w:sz w:val="15"/>
              </w:rPr>
              <w:t>What output is expected?</w:t>
            </w:r>
          </w:p>
        </w:tc>
      </w:tr>
      <w:tr w:rsidR="00C95BEC" w14:paraId="0CC06F65" w14:textId="77777777">
        <w:trPr>
          <w:jc w:val="center"/>
        </w:trPr>
        <w:tc>
          <w:tcPr>
            <w:tcW w:w="5083" w:type="dxa"/>
            <w:shd w:val="clear" w:color="auto" w:fill="F3F5F7"/>
            <w:tcMar>
              <w:top w:w="70" w:type="dxa"/>
              <w:left w:w="70" w:type="dxa"/>
              <w:bottom w:w="70" w:type="dxa"/>
              <w:right w:w="70" w:type="dxa"/>
            </w:tcMar>
          </w:tcPr>
          <w:p w14:paraId="7E44F231" w14:textId="77777777" w:rsidR="00C95BEC" w:rsidRDefault="00E87CBF">
            <w:r>
              <w:rPr>
                <w:sz w:val="15"/>
              </w:rPr>
              <w:t>What may it access?</w:t>
            </w:r>
          </w:p>
        </w:tc>
        <w:tc>
          <w:tcPr>
            <w:tcW w:w="5083" w:type="dxa"/>
            <w:tcMar>
              <w:top w:w="70" w:type="dxa"/>
              <w:left w:w="70" w:type="dxa"/>
              <w:bottom w:w="70" w:type="dxa"/>
              <w:right w:w="70" w:type="dxa"/>
            </w:tcMar>
          </w:tcPr>
          <w:p w14:paraId="360C30FF" w14:textId="77777777" w:rsidR="00C95BEC" w:rsidRDefault="00E87CBF">
            <w:r>
              <w:rPr>
                <w:sz w:val="15"/>
              </w:rPr>
              <w:t>What evidence must be returned?</w:t>
            </w:r>
          </w:p>
        </w:tc>
      </w:tr>
      <w:tr w:rsidR="00C95BEC" w14:paraId="26E59FC1" w14:textId="77777777">
        <w:trPr>
          <w:jc w:val="center"/>
        </w:trPr>
        <w:tc>
          <w:tcPr>
            <w:tcW w:w="5083" w:type="dxa"/>
            <w:shd w:val="clear" w:color="auto" w:fill="F3F5F7"/>
            <w:tcMar>
              <w:top w:w="70" w:type="dxa"/>
              <w:left w:w="70" w:type="dxa"/>
              <w:bottom w:w="70" w:type="dxa"/>
              <w:right w:w="70" w:type="dxa"/>
            </w:tcMar>
          </w:tcPr>
          <w:p w14:paraId="4D7E377A" w14:textId="77777777" w:rsidR="00C95BEC" w:rsidRDefault="00E87CBF">
            <w:r>
              <w:rPr>
                <w:sz w:val="15"/>
              </w:rPr>
              <w:t>What guardrails apply?</w:t>
            </w:r>
          </w:p>
        </w:tc>
        <w:tc>
          <w:tcPr>
            <w:tcW w:w="5083" w:type="dxa"/>
            <w:tcMar>
              <w:top w:w="70" w:type="dxa"/>
              <w:left w:w="70" w:type="dxa"/>
              <w:bottom w:w="70" w:type="dxa"/>
              <w:right w:w="70" w:type="dxa"/>
            </w:tcMar>
          </w:tcPr>
          <w:p w14:paraId="7E232F97" w14:textId="77777777" w:rsidR="00C95BEC" w:rsidRDefault="00E87CBF">
            <w:r>
              <w:rPr>
                <w:sz w:val="15"/>
              </w:rPr>
              <w:t>What assurance/acceptance conditions apply?</w:t>
            </w:r>
          </w:p>
        </w:tc>
      </w:tr>
      <w:tr w:rsidR="00C95BEC" w14:paraId="2BE990F2" w14:textId="77777777">
        <w:trPr>
          <w:jc w:val="center"/>
        </w:trPr>
        <w:tc>
          <w:tcPr>
            <w:tcW w:w="5083" w:type="dxa"/>
            <w:shd w:val="clear" w:color="auto" w:fill="F3F5F7"/>
            <w:tcMar>
              <w:top w:w="70" w:type="dxa"/>
              <w:left w:w="70" w:type="dxa"/>
              <w:bottom w:w="70" w:type="dxa"/>
              <w:right w:w="70" w:type="dxa"/>
            </w:tcMar>
          </w:tcPr>
          <w:p w14:paraId="522E782B" w14:textId="77777777" w:rsidR="00C95BEC" w:rsidRDefault="00E87CBF">
            <w:r>
              <w:rPr>
                <w:sz w:val="15"/>
              </w:rPr>
              <w:t>When must it hold/escalate?</w:t>
            </w:r>
          </w:p>
        </w:tc>
        <w:tc>
          <w:tcPr>
            <w:tcW w:w="5083" w:type="dxa"/>
            <w:tcMar>
              <w:top w:w="70" w:type="dxa"/>
              <w:left w:w="70" w:type="dxa"/>
              <w:bottom w:w="70" w:type="dxa"/>
              <w:right w:w="70" w:type="dxa"/>
            </w:tcMar>
          </w:tcPr>
          <w:p w14:paraId="5BC4E748" w14:textId="77777777" w:rsidR="00C95BEC" w:rsidRDefault="00E87CBF">
            <w:r>
              <w:rPr>
                <w:sz w:val="15"/>
              </w:rPr>
              <w:t>What constitutes completion?</w:t>
            </w:r>
          </w:p>
        </w:tc>
      </w:tr>
    </w:tbl>
    <w:p w14:paraId="3A6A5AF2" w14:textId="77777777" w:rsidR="00C95BEC" w:rsidRDefault="00C95BEC"/>
    <w:p w14:paraId="1D2FD740" w14:textId="77777777" w:rsidR="00C95BEC" w:rsidRDefault="00E87CBF">
      <w:pPr>
        <w:pStyle w:val="Heading1"/>
      </w:pPr>
      <w:r>
        <w:t>7. Assurance Practice</w:t>
      </w:r>
    </w:p>
    <w:p w14:paraId="4F6163DA" w14:textId="77777777" w:rsidR="00C95BEC" w:rsidRDefault="00E87CBF">
      <w:pPr>
        <w:pStyle w:val="ListBullet"/>
        <w:spacing w:after="50"/>
      </w:pPr>
      <w:r>
        <w:t>Do not let a Worker independently assure its own material output where independence is required.</w:t>
      </w:r>
    </w:p>
    <w:p w14:paraId="66408579" w14:textId="77777777" w:rsidR="00C95BEC" w:rsidRDefault="00E87CBF">
      <w:pPr>
        <w:pStyle w:val="ListBullet"/>
        <w:spacing w:after="50"/>
      </w:pPr>
      <w:r>
        <w:t>Do not treat different AI instances as automatically independent if they share model, context, tools, evidence, or assumptions.</w:t>
      </w:r>
    </w:p>
    <w:p w14:paraId="544D66A5" w14:textId="77777777" w:rsidR="00C95BEC" w:rsidRDefault="00E87CBF">
      <w:pPr>
        <w:pStyle w:val="ListBullet"/>
        <w:spacing w:after="50"/>
      </w:pPr>
      <w:r>
        <w:t>Keep conflicting Checker findings visible until policy-defined reconciliation or escalation resolves them.</w:t>
      </w:r>
    </w:p>
    <w:p w14:paraId="3867B32A" w14:textId="77777777" w:rsidR="00C95BEC" w:rsidRDefault="00E87CBF">
      <w:pPr>
        <w:pStyle w:val="ListBullet"/>
        <w:spacing w:after="50"/>
      </w:pPr>
      <w:r>
        <w:t>Distinguish Worker-asserted evidence from independently generated or otherwise verifiable evidence where material.</w:t>
      </w:r>
    </w:p>
    <w:p w14:paraId="7D512952" w14:textId="77777777" w:rsidR="00C95BEC" w:rsidRDefault="00E87CBF">
      <w:pPr>
        <w:pStyle w:val="ListBullet"/>
        <w:spacing w:after="50"/>
      </w:pPr>
      <w:r>
        <w:t>Treat Buyer acceptance as different from Checker assurance.</w:t>
      </w:r>
    </w:p>
    <w:p w14:paraId="2DAB318A" w14:textId="77777777" w:rsidR="00C95BEC" w:rsidRDefault="00E87CBF">
      <w:pPr>
        <w:pStyle w:val="Heading1"/>
      </w:pPr>
      <w:r>
        <w:t>8. Daily Pulse and Weekly Connect</w:t>
      </w:r>
    </w:p>
    <w:tbl>
      <w:tblPr>
        <w:tblW w:w="0" w:type="auto"/>
        <w:jc w:val="center"/>
        <w:tblLook w:val="04A0" w:firstRow="1" w:lastRow="0" w:firstColumn="1" w:lastColumn="0" w:noHBand="0" w:noVBand="1"/>
      </w:tblPr>
      <w:tblGrid>
        <w:gridCol w:w="3389"/>
        <w:gridCol w:w="3389"/>
        <w:gridCol w:w="3389"/>
      </w:tblGrid>
      <w:tr w:rsidR="00C95BEC" w14:paraId="5C66C8D0" w14:textId="77777777">
        <w:trPr>
          <w:tblHeader/>
          <w:jc w:val="center"/>
        </w:trPr>
        <w:tc>
          <w:tcPr>
            <w:tcW w:w="3389" w:type="dxa"/>
            <w:shd w:val="clear" w:color="auto" w:fill="17324D"/>
            <w:tcMar>
              <w:top w:w="70" w:type="dxa"/>
              <w:left w:w="70" w:type="dxa"/>
              <w:bottom w:w="70" w:type="dxa"/>
              <w:right w:w="70" w:type="dxa"/>
            </w:tcMar>
          </w:tcPr>
          <w:p w14:paraId="1B9853A0" w14:textId="77777777" w:rsidR="00C95BEC" w:rsidRDefault="00E87CBF">
            <w:r>
              <w:rPr>
                <w:b/>
                <w:color w:val="FFFFFF"/>
                <w:sz w:val="16"/>
              </w:rPr>
              <w:t>Cadence</w:t>
            </w:r>
          </w:p>
        </w:tc>
        <w:tc>
          <w:tcPr>
            <w:tcW w:w="3389" w:type="dxa"/>
            <w:shd w:val="clear" w:color="auto" w:fill="17324D"/>
            <w:tcMar>
              <w:top w:w="70" w:type="dxa"/>
              <w:left w:w="70" w:type="dxa"/>
              <w:bottom w:w="70" w:type="dxa"/>
              <w:right w:w="70" w:type="dxa"/>
            </w:tcMar>
          </w:tcPr>
          <w:p w14:paraId="3DCCE875" w14:textId="77777777" w:rsidR="00C95BEC" w:rsidRDefault="00E87CBF">
            <w:r>
              <w:rPr>
                <w:b/>
                <w:color w:val="FFFFFF"/>
                <w:sz w:val="16"/>
              </w:rPr>
              <w:t>Purpose</w:t>
            </w:r>
          </w:p>
        </w:tc>
        <w:tc>
          <w:tcPr>
            <w:tcW w:w="3389" w:type="dxa"/>
            <w:shd w:val="clear" w:color="auto" w:fill="17324D"/>
            <w:tcMar>
              <w:top w:w="70" w:type="dxa"/>
              <w:left w:w="70" w:type="dxa"/>
              <w:bottom w:w="70" w:type="dxa"/>
              <w:right w:w="70" w:type="dxa"/>
            </w:tcMar>
          </w:tcPr>
          <w:p w14:paraId="78FEA758" w14:textId="77777777" w:rsidR="00C95BEC" w:rsidRDefault="00E87CBF">
            <w:r>
              <w:rPr>
                <w:b/>
                <w:color w:val="FFFFFF"/>
                <w:sz w:val="16"/>
              </w:rPr>
              <w:t>Minimum Content</w:t>
            </w:r>
          </w:p>
        </w:tc>
      </w:tr>
      <w:tr w:rsidR="00C95BEC" w14:paraId="3CAC345D" w14:textId="77777777">
        <w:trPr>
          <w:jc w:val="center"/>
        </w:trPr>
        <w:tc>
          <w:tcPr>
            <w:tcW w:w="3389" w:type="dxa"/>
            <w:shd w:val="clear" w:color="auto" w:fill="F3F5F7"/>
            <w:tcMar>
              <w:top w:w="70" w:type="dxa"/>
              <w:left w:w="70" w:type="dxa"/>
              <w:bottom w:w="70" w:type="dxa"/>
              <w:right w:w="70" w:type="dxa"/>
            </w:tcMar>
          </w:tcPr>
          <w:p w14:paraId="6E32B87D" w14:textId="77777777" w:rsidR="00C95BEC" w:rsidRDefault="00E87CBF">
            <w:r>
              <w:rPr>
                <w:sz w:val="15"/>
              </w:rPr>
              <w:t>Daily Pulse</w:t>
            </w:r>
          </w:p>
        </w:tc>
        <w:tc>
          <w:tcPr>
            <w:tcW w:w="3389" w:type="dxa"/>
            <w:tcMar>
              <w:top w:w="70" w:type="dxa"/>
              <w:left w:w="70" w:type="dxa"/>
              <w:bottom w:w="70" w:type="dxa"/>
              <w:right w:w="70" w:type="dxa"/>
            </w:tcMar>
          </w:tcPr>
          <w:p w14:paraId="2ADC86F4" w14:textId="77777777" w:rsidR="00C95BEC" w:rsidRDefault="00E87CBF">
            <w:r>
              <w:rPr>
                <w:sz w:val="15"/>
              </w:rPr>
              <w:t>Operational synchronization</w:t>
            </w:r>
          </w:p>
        </w:tc>
        <w:tc>
          <w:tcPr>
            <w:tcW w:w="3389" w:type="dxa"/>
            <w:tcMar>
              <w:top w:w="70" w:type="dxa"/>
              <w:left w:w="70" w:type="dxa"/>
              <w:bottom w:w="70" w:type="dxa"/>
              <w:right w:w="70" w:type="dxa"/>
            </w:tcMar>
          </w:tcPr>
          <w:p w14:paraId="6931F5B6" w14:textId="77777777" w:rsidR="00C95BEC" w:rsidRDefault="00E87CBF">
            <w:r>
              <w:rPr>
                <w:sz w:val="15"/>
              </w:rPr>
              <w:t>Completed, Next, Blocker, Cross-Impact, Evidence, Exception State</w:t>
            </w:r>
          </w:p>
        </w:tc>
      </w:tr>
      <w:tr w:rsidR="00C95BEC" w14:paraId="2FF7AE5D" w14:textId="77777777">
        <w:trPr>
          <w:jc w:val="center"/>
        </w:trPr>
        <w:tc>
          <w:tcPr>
            <w:tcW w:w="3389" w:type="dxa"/>
            <w:shd w:val="clear" w:color="auto" w:fill="F3F5F7"/>
            <w:tcMar>
              <w:top w:w="70" w:type="dxa"/>
              <w:left w:w="70" w:type="dxa"/>
              <w:bottom w:w="70" w:type="dxa"/>
              <w:right w:w="70" w:type="dxa"/>
            </w:tcMar>
          </w:tcPr>
          <w:p w14:paraId="3561A72E" w14:textId="77777777" w:rsidR="00C95BEC" w:rsidRDefault="00E87CBF">
            <w:r>
              <w:rPr>
                <w:sz w:val="15"/>
              </w:rPr>
              <w:t>Weekly Connect</w:t>
            </w:r>
          </w:p>
        </w:tc>
        <w:tc>
          <w:tcPr>
            <w:tcW w:w="3389" w:type="dxa"/>
            <w:tcMar>
              <w:top w:w="70" w:type="dxa"/>
              <w:left w:w="70" w:type="dxa"/>
              <w:bottom w:w="70" w:type="dxa"/>
              <w:right w:w="70" w:type="dxa"/>
            </w:tcMar>
          </w:tcPr>
          <w:p w14:paraId="7E576FEA" w14:textId="77777777" w:rsidR="00C95BEC" w:rsidRDefault="00E87CBF">
            <w:r>
              <w:rPr>
                <w:sz w:val="15"/>
              </w:rPr>
              <w:t>Cross-Role reconciliation</w:t>
            </w:r>
          </w:p>
        </w:tc>
        <w:tc>
          <w:tcPr>
            <w:tcW w:w="3389" w:type="dxa"/>
            <w:tcMar>
              <w:top w:w="70" w:type="dxa"/>
              <w:left w:w="70" w:type="dxa"/>
              <w:bottom w:w="70" w:type="dxa"/>
              <w:right w:w="70" w:type="dxa"/>
            </w:tcMar>
          </w:tcPr>
          <w:p w14:paraId="7B6D6CE6" w14:textId="77777777" w:rsidR="00C95BEC" w:rsidRDefault="00E87CBF">
            <w:r>
              <w:rPr>
                <w:sz w:val="15"/>
              </w:rPr>
              <w:t>Target alignment, Checker findings, Buyer feedback, dependencies, Worker conflicts, exceptions, Navigation changes, decisions</w:t>
            </w:r>
          </w:p>
        </w:tc>
      </w:tr>
    </w:tbl>
    <w:p w14:paraId="4BE8F489" w14:textId="77777777" w:rsidR="00C95BEC" w:rsidRDefault="00C95BEC"/>
    <w:p w14:paraId="42FA01F0" w14:textId="77777777" w:rsidR="00C95BEC" w:rsidRDefault="00E87CBF">
      <w:pPr>
        <w:pStyle w:val="Heading1"/>
      </w:pPr>
      <w:r>
        <w:t>9. Closing a Trant</w:t>
      </w:r>
    </w:p>
    <w:p w14:paraId="0C2929AF" w14:textId="77777777" w:rsidR="00C95BEC" w:rsidRDefault="00E87CBF">
      <w:pPr>
        <w:pStyle w:val="ListNumber"/>
        <w:spacing w:after="50"/>
      </w:pPr>
      <w:r>
        <w:t>Reconcile TOC intent with actual outcomes.</w:t>
      </w:r>
    </w:p>
    <w:p w14:paraId="2230DBB8" w14:textId="77777777" w:rsidR="00C95BEC" w:rsidRDefault="00E87CBF">
      <w:pPr>
        <w:pStyle w:val="ListNumber"/>
        <w:spacing w:after="50"/>
      </w:pPr>
      <w:r>
        <w:t>Confirm Deliverables and incomplete/carryover work.</w:t>
      </w:r>
    </w:p>
    <w:p w14:paraId="4769DDB6" w14:textId="77777777" w:rsidR="00C95BEC" w:rsidRDefault="00E87CBF">
      <w:pPr>
        <w:pStyle w:val="ListNumber"/>
        <w:spacing w:after="50"/>
      </w:pPr>
      <w:r>
        <w:t>Review material Worker participation and UWC state.</w:t>
      </w:r>
    </w:p>
    <w:p w14:paraId="436B6DFA" w14:textId="77777777" w:rsidR="00C95BEC" w:rsidRDefault="00E87CBF">
      <w:pPr>
        <w:pStyle w:val="ListNumber"/>
        <w:spacing w:after="50"/>
      </w:pPr>
      <w:r>
        <w:t>Review Checker assurance and Buyer acceptance.</w:t>
      </w:r>
    </w:p>
    <w:p w14:paraId="0B66E804" w14:textId="77777777" w:rsidR="00C95BEC" w:rsidRDefault="00E87CBF">
      <w:pPr>
        <w:pStyle w:val="ListNumber"/>
        <w:spacing w:after="50"/>
      </w:pPr>
      <w:r>
        <w:lastRenderedPageBreak/>
        <w:t>Record exceptions and overrides.</w:t>
      </w:r>
    </w:p>
    <w:p w14:paraId="05DF8CEA" w14:textId="77777777" w:rsidR="00C95BEC" w:rsidRDefault="00E87CBF">
      <w:pPr>
        <w:pStyle w:val="ListNumber"/>
        <w:spacing w:after="50"/>
      </w:pPr>
      <w:r>
        <w:t>Complete TOR.</w:t>
      </w:r>
    </w:p>
    <w:p w14:paraId="6C2DADF8" w14:textId="77777777" w:rsidR="00C95BEC" w:rsidRDefault="00E87CBF">
      <w:pPr>
        <w:pStyle w:val="ListNumber"/>
        <w:spacing w:after="50"/>
      </w:pPr>
      <w:r>
        <w:t>Create/update Snap.</w:t>
      </w:r>
    </w:p>
    <w:p w14:paraId="2F77EF71" w14:textId="77777777" w:rsidR="00C95BEC" w:rsidRDefault="00E87CBF">
      <w:pPr>
        <w:pStyle w:val="ListNumber"/>
        <w:spacing w:after="50"/>
      </w:pPr>
      <w:r>
        <w:t>Assemble TCAP where required.</w:t>
      </w:r>
    </w:p>
    <w:p w14:paraId="27298EB4" w14:textId="77777777" w:rsidR="00C95BEC" w:rsidRDefault="00E87CBF">
      <w:pPr>
        <w:pStyle w:val="ListNumber"/>
        <w:spacing w:after="50"/>
      </w:pPr>
      <w:r>
        <w:t>Decide CONTINUE / REPRIORITIZE / REORIENT / HOLD / COMPLETE.</w:t>
      </w:r>
    </w:p>
    <w:p w14:paraId="00546244" w14:textId="77777777" w:rsidR="00C95BEC" w:rsidRDefault="00E87CBF">
      <w:pPr>
        <w:pStyle w:val="Heading1"/>
      </w:pPr>
      <w:r>
        <w:t>10. Common Failure Modes</w:t>
      </w:r>
    </w:p>
    <w:tbl>
      <w:tblPr>
        <w:tblW w:w="0" w:type="auto"/>
        <w:jc w:val="center"/>
        <w:tblLook w:val="04A0" w:firstRow="1" w:lastRow="0" w:firstColumn="1" w:lastColumn="0" w:noHBand="0" w:noVBand="1"/>
      </w:tblPr>
      <w:tblGrid>
        <w:gridCol w:w="5083"/>
        <w:gridCol w:w="5083"/>
      </w:tblGrid>
      <w:tr w:rsidR="00C95BEC" w14:paraId="16F14D49" w14:textId="77777777">
        <w:trPr>
          <w:tblHeader/>
          <w:jc w:val="center"/>
        </w:trPr>
        <w:tc>
          <w:tcPr>
            <w:tcW w:w="5083" w:type="dxa"/>
            <w:shd w:val="clear" w:color="auto" w:fill="17324D"/>
            <w:tcMar>
              <w:top w:w="70" w:type="dxa"/>
              <w:left w:w="70" w:type="dxa"/>
              <w:bottom w:w="70" w:type="dxa"/>
              <w:right w:w="70" w:type="dxa"/>
            </w:tcMar>
          </w:tcPr>
          <w:p w14:paraId="404A7A22" w14:textId="77777777" w:rsidR="00C95BEC" w:rsidRDefault="00E87CBF">
            <w:r>
              <w:rPr>
                <w:b/>
                <w:color w:val="FFFFFF"/>
                <w:sz w:val="16"/>
              </w:rPr>
              <w:t>Failure Mode</w:t>
            </w:r>
          </w:p>
        </w:tc>
        <w:tc>
          <w:tcPr>
            <w:tcW w:w="5083" w:type="dxa"/>
            <w:shd w:val="clear" w:color="auto" w:fill="17324D"/>
            <w:tcMar>
              <w:top w:w="70" w:type="dxa"/>
              <w:left w:w="70" w:type="dxa"/>
              <w:bottom w:w="70" w:type="dxa"/>
              <w:right w:w="70" w:type="dxa"/>
            </w:tcMar>
          </w:tcPr>
          <w:p w14:paraId="043C435F" w14:textId="77777777" w:rsidR="00C95BEC" w:rsidRDefault="00E87CBF">
            <w:r>
              <w:rPr>
                <w:b/>
                <w:color w:val="FFFFFF"/>
                <w:sz w:val="16"/>
              </w:rPr>
              <w:t>Practitioner Correction</w:t>
            </w:r>
          </w:p>
        </w:tc>
      </w:tr>
      <w:tr w:rsidR="00C95BEC" w14:paraId="3BEA9793" w14:textId="77777777">
        <w:trPr>
          <w:jc w:val="center"/>
        </w:trPr>
        <w:tc>
          <w:tcPr>
            <w:tcW w:w="5083" w:type="dxa"/>
            <w:shd w:val="clear" w:color="auto" w:fill="F3F5F7"/>
            <w:tcMar>
              <w:top w:w="70" w:type="dxa"/>
              <w:left w:w="70" w:type="dxa"/>
              <w:bottom w:w="70" w:type="dxa"/>
              <w:right w:w="70" w:type="dxa"/>
            </w:tcMar>
          </w:tcPr>
          <w:p w14:paraId="422E9EB8" w14:textId="77777777" w:rsidR="00C95BEC" w:rsidRDefault="00E87CBF">
            <w:r>
              <w:rPr>
                <w:sz w:val="15"/>
              </w:rPr>
              <w:t>Starting with tasks rather than Target Future</w:t>
            </w:r>
          </w:p>
        </w:tc>
        <w:tc>
          <w:tcPr>
            <w:tcW w:w="5083" w:type="dxa"/>
            <w:tcMar>
              <w:top w:w="70" w:type="dxa"/>
              <w:left w:w="70" w:type="dxa"/>
              <w:bottom w:w="70" w:type="dxa"/>
              <w:right w:w="70" w:type="dxa"/>
            </w:tcMar>
          </w:tcPr>
          <w:p w14:paraId="118BD156" w14:textId="77777777" w:rsidR="00C95BEC" w:rsidRDefault="00E87CBF">
            <w:r>
              <w:rPr>
                <w:sz w:val="15"/>
              </w:rPr>
              <w:t>Re-establish intent through TOC.</w:t>
            </w:r>
          </w:p>
        </w:tc>
      </w:tr>
      <w:tr w:rsidR="00C95BEC" w14:paraId="535093ED" w14:textId="77777777">
        <w:trPr>
          <w:jc w:val="center"/>
        </w:trPr>
        <w:tc>
          <w:tcPr>
            <w:tcW w:w="5083" w:type="dxa"/>
            <w:shd w:val="clear" w:color="auto" w:fill="F3F5F7"/>
            <w:tcMar>
              <w:top w:w="70" w:type="dxa"/>
              <w:left w:w="70" w:type="dxa"/>
              <w:bottom w:w="70" w:type="dxa"/>
              <w:right w:w="70" w:type="dxa"/>
            </w:tcMar>
          </w:tcPr>
          <w:p w14:paraId="31C5B93F" w14:textId="77777777" w:rsidR="00C95BEC" w:rsidRDefault="00E87CBF">
            <w:r>
              <w:rPr>
                <w:sz w:val="15"/>
              </w:rPr>
              <w:t>Treating AI tool use as Worker governance</w:t>
            </w:r>
          </w:p>
        </w:tc>
        <w:tc>
          <w:tcPr>
            <w:tcW w:w="5083" w:type="dxa"/>
            <w:tcMar>
              <w:top w:w="70" w:type="dxa"/>
              <w:left w:w="70" w:type="dxa"/>
              <w:bottom w:w="70" w:type="dxa"/>
              <w:right w:w="70" w:type="dxa"/>
            </w:tcMar>
          </w:tcPr>
          <w:p w14:paraId="09606D5F" w14:textId="77777777" w:rsidR="00C95BEC" w:rsidRDefault="00E87CBF">
            <w:r>
              <w:rPr>
                <w:sz w:val="15"/>
              </w:rPr>
              <w:t>Determine whether AI performs substantive Role responsibility; if yes, govern as Worker.</w:t>
            </w:r>
          </w:p>
        </w:tc>
      </w:tr>
      <w:tr w:rsidR="00C95BEC" w14:paraId="07D24E26" w14:textId="77777777">
        <w:trPr>
          <w:jc w:val="center"/>
        </w:trPr>
        <w:tc>
          <w:tcPr>
            <w:tcW w:w="5083" w:type="dxa"/>
            <w:shd w:val="clear" w:color="auto" w:fill="F3F5F7"/>
            <w:tcMar>
              <w:top w:w="70" w:type="dxa"/>
              <w:left w:w="70" w:type="dxa"/>
              <w:bottom w:w="70" w:type="dxa"/>
              <w:right w:w="70" w:type="dxa"/>
            </w:tcMar>
          </w:tcPr>
          <w:p w14:paraId="5547D0B3" w14:textId="77777777" w:rsidR="00C95BEC" w:rsidRDefault="00E87CBF">
            <w:r>
              <w:rPr>
                <w:sz w:val="15"/>
              </w:rPr>
              <w:t>Assuming technical access equals permission</w:t>
            </w:r>
          </w:p>
        </w:tc>
        <w:tc>
          <w:tcPr>
            <w:tcW w:w="5083" w:type="dxa"/>
            <w:tcMar>
              <w:top w:w="70" w:type="dxa"/>
              <w:left w:w="70" w:type="dxa"/>
              <w:bottom w:w="70" w:type="dxa"/>
              <w:right w:w="70" w:type="dxa"/>
            </w:tcMar>
          </w:tcPr>
          <w:p w14:paraId="3F1E488E" w14:textId="77777777" w:rsidR="00C95BEC" w:rsidRDefault="00E87CBF">
            <w:r>
              <w:rPr>
                <w:sz w:val="15"/>
              </w:rPr>
              <w:t>Apply Effective Permission.</w:t>
            </w:r>
          </w:p>
        </w:tc>
      </w:tr>
      <w:tr w:rsidR="00C95BEC" w14:paraId="37448F81" w14:textId="77777777">
        <w:trPr>
          <w:jc w:val="center"/>
        </w:trPr>
        <w:tc>
          <w:tcPr>
            <w:tcW w:w="5083" w:type="dxa"/>
            <w:shd w:val="clear" w:color="auto" w:fill="F3F5F7"/>
            <w:tcMar>
              <w:top w:w="70" w:type="dxa"/>
              <w:left w:w="70" w:type="dxa"/>
              <w:bottom w:w="70" w:type="dxa"/>
              <w:right w:w="70" w:type="dxa"/>
            </w:tcMar>
          </w:tcPr>
          <w:p w14:paraId="2A0CC420" w14:textId="77777777" w:rsidR="00C95BEC" w:rsidRDefault="00E87CBF">
            <w:r>
              <w:rPr>
                <w:sz w:val="15"/>
              </w:rPr>
              <w:t>Allowing implicit agent delegation</w:t>
            </w:r>
          </w:p>
        </w:tc>
        <w:tc>
          <w:tcPr>
            <w:tcW w:w="5083" w:type="dxa"/>
            <w:tcMar>
              <w:top w:w="70" w:type="dxa"/>
              <w:left w:w="70" w:type="dxa"/>
              <w:bottom w:w="70" w:type="dxa"/>
              <w:right w:w="70" w:type="dxa"/>
            </w:tcMar>
          </w:tcPr>
          <w:p w14:paraId="46CCBB91" w14:textId="77777777" w:rsidR="00C95BEC" w:rsidRDefault="00E87CBF">
            <w:r>
              <w:rPr>
                <w:sz w:val="15"/>
              </w:rPr>
              <w:t>Require explicit delegated authority and governed delegate Worker.</w:t>
            </w:r>
          </w:p>
        </w:tc>
      </w:tr>
      <w:tr w:rsidR="00C95BEC" w14:paraId="16C10DA0" w14:textId="77777777">
        <w:trPr>
          <w:jc w:val="center"/>
        </w:trPr>
        <w:tc>
          <w:tcPr>
            <w:tcW w:w="5083" w:type="dxa"/>
            <w:shd w:val="clear" w:color="auto" w:fill="F3F5F7"/>
            <w:tcMar>
              <w:top w:w="70" w:type="dxa"/>
              <w:left w:w="70" w:type="dxa"/>
              <w:bottom w:w="70" w:type="dxa"/>
              <w:right w:w="70" w:type="dxa"/>
            </w:tcMar>
          </w:tcPr>
          <w:p w14:paraId="5C421BEE" w14:textId="77777777" w:rsidR="00C95BEC" w:rsidRDefault="00E87CBF">
            <w:r>
              <w:rPr>
                <w:sz w:val="15"/>
              </w:rPr>
              <w:t>Treating Checker PASS as Buyer acceptance</w:t>
            </w:r>
          </w:p>
        </w:tc>
        <w:tc>
          <w:tcPr>
            <w:tcW w:w="5083" w:type="dxa"/>
            <w:tcMar>
              <w:top w:w="70" w:type="dxa"/>
              <w:left w:w="70" w:type="dxa"/>
              <w:bottom w:w="70" w:type="dxa"/>
              <w:right w:w="70" w:type="dxa"/>
            </w:tcMar>
          </w:tcPr>
          <w:p w14:paraId="6F367205" w14:textId="77777777" w:rsidR="00C95BEC" w:rsidRDefault="00E87CBF">
            <w:r>
              <w:rPr>
                <w:sz w:val="15"/>
              </w:rPr>
              <w:t>Run the Buyer responsibility separately.</w:t>
            </w:r>
          </w:p>
        </w:tc>
      </w:tr>
      <w:tr w:rsidR="00C95BEC" w14:paraId="2CEB38DA" w14:textId="77777777">
        <w:trPr>
          <w:jc w:val="center"/>
        </w:trPr>
        <w:tc>
          <w:tcPr>
            <w:tcW w:w="5083" w:type="dxa"/>
            <w:shd w:val="clear" w:color="auto" w:fill="F3F5F7"/>
            <w:tcMar>
              <w:top w:w="70" w:type="dxa"/>
              <w:left w:w="70" w:type="dxa"/>
              <w:bottom w:w="70" w:type="dxa"/>
              <w:right w:w="70" w:type="dxa"/>
            </w:tcMar>
          </w:tcPr>
          <w:p w14:paraId="07346482" w14:textId="77777777" w:rsidR="00C95BEC" w:rsidRDefault="00E87CBF">
            <w:r>
              <w:rPr>
                <w:sz w:val="15"/>
              </w:rPr>
              <w:t>Using dashboards without evidence</w:t>
            </w:r>
          </w:p>
        </w:tc>
        <w:tc>
          <w:tcPr>
            <w:tcW w:w="5083" w:type="dxa"/>
            <w:tcMar>
              <w:top w:w="70" w:type="dxa"/>
              <w:left w:w="70" w:type="dxa"/>
              <w:bottom w:w="70" w:type="dxa"/>
              <w:right w:w="70" w:type="dxa"/>
            </w:tcMar>
          </w:tcPr>
          <w:p w14:paraId="0000773E" w14:textId="77777777" w:rsidR="00C95BEC" w:rsidRDefault="00E87CBF">
            <w:r>
              <w:rPr>
                <w:sz w:val="15"/>
              </w:rPr>
              <w:t>Reconnect Navigator state to KEA evidence.</w:t>
            </w:r>
          </w:p>
        </w:tc>
      </w:tr>
      <w:tr w:rsidR="00C95BEC" w14:paraId="71C5A065" w14:textId="77777777">
        <w:trPr>
          <w:jc w:val="center"/>
        </w:trPr>
        <w:tc>
          <w:tcPr>
            <w:tcW w:w="5083" w:type="dxa"/>
            <w:shd w:val="clear" w:color="auto" w:fill="F3F5F7"/>
            <w:tcMar>
              <w:top w:w="70" w:type="dxa"/>
              <w:left w:w="70" w:type="dxa"/>
              <w:bottom w:w="70" w:type="dxa"/>
              <w:right w:w="70" w:type="dxa"/>
            </w:tcMar>
          </w:tcPr>
          <w:p w14:paraId="56F0C6EE" w14:textId="77777777" w:rsidR="00C95BEC" w:rsidRDefault="00E87CBF">
            <w:r>
              <w:rPr>
                <w:sz w:val="15"/>
              </w:rPr>
              <w:t>Never declaring completion</w:t>
            </w:r>
          </w:p>
        </w:tc>
        <w:tc>
          <w:tcPr>
            <w:tcW w:w="5083" w:type="dxa"/>
            <w:tcMar>
              <w:top w:w="70" w:type="dxa"/>
              <w:left w:w="70" w:type="dxa"/>
              <w:bottom w:w="70" w:type="dxa"/>
              <w:right w:w="70" w:type="dxa"/>
            </w:tcMar>
          </w:tcPr>
          <w:p w14:paraId="6E0C87E0" w14:textId="77777777" w:rsidR="00C95BEC" w:rsidRDefault="00E87CBF">
            <w:r>
              <w:rPr>
                <w:sz w:val="15"/>
              </w:rPr>
              <w:t>Use Trant N and explicit closure conditions.</w:t>
            </w:r>
          </w:p>
        </w:tc>
      </w:tr>
    </w:tbl>
    <w:p w14:paraId="45A744FE" w14:textId="77777777" w:rsidR="00C95BEC" w:rsidRDefault="00C95BEC"/>
    <w:p w14:paraId="3D0E9951" w14:textId="77777777" w:rsidR="00C95BEC" w:rsidRDefault="00E87CBF">
      <w:pPr>
        <w:pStyle w:val="Heading1"/>
      </w:pPr>
      <w:r>
        <w:t>11. Practitioner Exit Criteria</w:t>
      </w:r>
    </w:p>
    <w:p w14:paraId="741C987B" w14:textId="77777777" w:rsidR="00C95BEC" w:rsidRDefault="00E87CBF">
      <w:pPr>
        <w:pStyle w:val="ListBullet"/>
        <w:spacing w:after="50"/>
      </w:pPr>
      <w:r>
        <w:t>Target Future movement is evidenced.</w:t>
      </w:r>
    </w:p>
    <w:p w14:paraId="0812A1A5" w14:textId="77777777" w:rsidR="00C95BEC" w:rsidRDefault="00E87CBF">
      <w:pPr>
        <w:pStyle w:val="ListBullet"/>
        <w:spacing w:after="50"/>
      </w:pPr>
      <w:r>
        <w:t>Material TWOs have traceable status.</w:t>
      </w:r>
    </w:p>
    <w:p w14:paraId="4DCFED44" w14:textId="77777777" w:rsidR="00C95BEC" w:rsidRDefault="00E87CBF">
      <w:pPr>
        <w:pStyle w:val="ListBullet"/>
        <w:spacing w:after="50"/>
      </w:pPr>
      <w:r>
        <w:t>Required Workers were governed through applicable UWCs.</w:t>
      </w:r>
    </w:p>
    <w:p w14:paraId="3CCE17A1" w14:textId="77777777" w:rsidR="00C95BEC" w:rsidRDefault="00E87CBF">
      <w:pPr>
        <w:pStyle w:val="ListBullet"/>
        <w:spacing w:after="50"/>
      </w:pPr>
      <w:r>
        <w:t>Assurance and acceptance conditions are resolved or explicitly carried forward.</w:t>
      </w:r>
    </w:p>
    <w:p w14:paraId="496D51BB" w14:textId="77777777" w:rsidR="00C95BEC" w:rsidRDefault="00E87CBF">
      <w:pPr>
        <w:pStyle w:val="ListBullet"/>
        <w:spacing w:after="50"/>
      </w:pPr>
      <w:r>
        <w:t>Exceptions and overrides are visible.</w:t>
      </w:r>
    </w:p>
    <w:p w14:paraId="01E54F66" w14:textId="77777777" w:rsidR="00C95BEC" w:rsidRDefault="00E87CBF">
      <w:pPr>
        <w:pStyle w:val="ListBullet"/>
        <w:spacing w:after="50"/>
      </w:pPr>
      <w:r>
        <w:t>TOR is complete.</w:t>
      </w:r>
    </w:p>
    <w:p w14:paraId="5523B513" w14:textId="77777777" w:rsidR="00C95BEC" w:rsidRDefault="00E87CBF">
      <w:pPr>
        <w:pStyle w:val="ListBullet"/>
        <w:spacing w:after="50"/>
      </w:pPr>
      <w:r>
        <w:t>Next movement or completion is explicit.</w:t>
      </w:r>
    </w:p>
    <w:sectPr w:rsidR="00C95BEC" w:rsidSect="00034616">
      <w:headerReference w:type="default" r:id="rId8"/>
      <w:footerReference w:type="default" r:id="rId9"/>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11A8" w14:textId="77777777" w:rsidR="00E87CBF" w:rsidRDefault="00E87CBF">
      <w:pPr>
        <w:spacing w:after="0" w:line="240" w:lineRule="auto"/>
      </w:pPr>
      <w:r>
        <w:separator/>
      </w:r>
    </w:p>
  </w:endnote>
  <w:endnote w:type="continuationSeparator" w:id="0">
    <w:p w14:paraId="07478BB5" w14:textId="77777777" w:rsidR="00E87CBF" w:rsidRDefault="00E87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337C" w14:textId="7862AD41" w:rsidR="00C95BEC" w:rsidRDefault="00E87CBF">
    <w:pPr>
      <w:pStyle w:val="Footer"/>
      <w:jc w:val="center"/>
    </w:pPr>
    <w:r>
      <w:rPr>
        <w:color w:val="4E79A7"/>
        <w:sz w:val="14"/>
      </w:rPr>
      <w:t>TRANTIATE</w:t>
    </w:r>
    <w:r>
      <w:rPr>
        <w:color w:val="4E79A7"/>
        <w:sz w:val="14"/>
      </w:rPr>
      <w:t xml:space="preserve"> Supplement | Version 1.0 | 2026 | </w:t>
    </w:r>
    <w:r>
      <w:fldChar w:fldCharType="begin"/>
    </w:r>
    <w:r>
      <w:instrText>PAGE</w:instrText>
    </w:r>
    <w:r>
      <w:fldChar w:fldCharType="separate"/>
    </w:r>
    <w:r w:rsidR="002606B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7AF4E" w14:textId="77777777" w:rsidR="00E87CBF" w:rsidRDefault="00E87CBF">
      <w:pPr>
        <w:spacing w:after="0" w:line="240" w:lineRule="auto"/>
      </w:pPr>
      <w:r>
        <w:separator/>
      </w:r>
    </w:p>
  </w:footnote>
  <w:footnote w:type="continuationSeparator" w:id="0">
    <w:p w14:paraId="68FDF905" w14:textId="77777777" w:rsidR="00E87CBF" w:rsidRDefault="00E87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849FC" w14:textId="20C31E00" w:rsidR="00C95BEC" w:rsidRDefault="00E87CBF">
    <w:pPr>
      <w:pStyle w:val="Header"/>
      <w:jc w:val="right"/>
    </w:pPr>
    <w:r>
      <w:rPr>
        <w:color w:val="4E79A7"/>
        <w:sz w:val="14"/>
      </w:rPr>
      <w:t>TRANTIATE</w:t>
    </w:r>
    <w:r>
      <w:rPr>
        <w:color w:val="4E79A7"/>
        <w:sz w:val="14"/>
      </w:rPr>
      <w:t xml:space="preserve"> V2.0 | TRANTIATE</w:t>
    </w:r>
    <w:r>
      <w:rPr>
        <w:color w:val="4E79A7"/>
        <w:sz w:val="14"/>
      </w:rPr>
      <w:t xml:space="preserve"> V2.0 Practitioner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697869">
    <w:abstractNumId w:val="8"/>
  </w:num>
  <w:num w:numId="2" w16cid:durableId="949899448">
    <w:abstractNumId w:val="6"/>
  </w:num>
  <w:num w:numId="3" w16cid:durableId="534125563">
    <w:abstractNumId w:val="5"/>
  </w:num>
  <w:num w:numId="4" w16cid:durableId="247540718">
    <w:abstractNumId w:val="4"/>
  </w:num>
  <w:num w:numId="5" w16cid:durableId="1841189247">
    <w:abstractNumId w:val="7"/>
  </w:num>
  <w:num w:numId="6" w16cid:durableId="1337030846">
    <w:abstractNumId w:val="3"/>
  </w:num>
  <w:num w:numId="7" w16cid:durableId="2000887851">
    <w:abstractNumId w:val="2"/>
  </w:num>
  <w:num w:numId="8" w16cid:durableId="427239046">
    <w:abstractNumId w:val="1"/>
  </w:num>
  <w:num w:numId="9" w16cid:durableId="195953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06BE"/>
    <w:rsid w:val="0029639D"/>
    <w:rsid w:val="00326F90"/>
    <w:rsid w:val="00AA1D8D"/>
    <w:rsid w:val="00B47730"/>
    <w:rsid w:val="00C95BEC"/>
    <w:rsid w:val="00CB0664"/>
    <w:rsid w:val="00E87CBF"/>
    <w:rsid w:val="00F001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E273074-26E7-449B-B184-C29653C4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pPr>
    <w:rPr>
      <w:rFonts w:ascii="Aptos" w:hAnsi="Aptos"/>
      <w:color w:val="2D343B"/>
      <w:sz w:val="19"/>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7324D"/>
      <w:sz w:val="42"/>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4E79A7"/>
      <w:sz w:val="29"/>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uoteBlock">
    <w:name w:val="QuoteBlock"/>
    <w:pPr>
      <w:ind w:left="403" w:right="259"/>
    </w:pPr>
    <w:rPr>
      <w:rFonts w:ascii="Aptos Display" w:hAnsi="Aptos Display"/>
      <w:i/>
      <w:color w:val="17324D"/>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manish gupta</cp:lastModifiedBy>
  <cp:revision>2</cp:revision>
  <dcterms:created xsi:type="dcterms:W3CDTF">2013-12-23T23:15:00Z</dcterms:created>
  <dcterms:modified xsi:type="dcterms:W3CDTF">2026-08-29T02:40:00Z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450c3ca1-b221-4674-adb4-ed1453bfef7e</vt:lpwstr>
  </property>
</Properties>
</file>